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5E0" w:rsidRDefault="00EF3095">
      <w:pPr>
        <w:spacing w:after="0" w:line="240" w:lineRule="auto"/>
        <w:jc w:val="center"/>
        <w:rPr>
          <w:rFonts w:ascii="Rockwell" w:eastAsia="Rockwell" w:hAnsi="Rockwell" w:cs="Rockwell"/>
          <w:b/>
          <w:bCs/>
          <w:color w:val="000000"/>
          <w:sz w:val="24"/>
          <w:szCs w:val="24"/>
        </w:rPr>
      </w:pPr>
      <w:bookmarkStart w:id="0" w:name="_GoBack"/>
      <w:bookmarkEnd w:id="0"/>
      <w:r>
        <w:rPr>
          <w:rFonts w:ascii="Limelight" w:eastAsia="Limelight" w:hAnsi="Limelight" w:cs="Limelight"/>
          <w:b/>
          <w:bCs/>
          <w:color w:val="000000"/>
        </w:rPr>
        <w:t xml:space="preserve">               </w:t>
      </w:r>
      <w:r>
        <w:rPr>
          <w:rFonts w:ascii="Rockwell" w:eastAsia="Rockwell" w:hAnsi="Rockwell" w:cs="Rockwell"/>
          <w:b/>
          <w:bCs/>
          <w:color w:val="0000CC"/>
          <w:sz w:val="24"/>
          <w:szCs w:val="24"/>
        </w:rPr>
        <w:t>UNIDAD DE APRENDIZAJE N°08</w:t>
      </w:r>
    </w:p>
    <w:p w:rsidR="007125E0" w:rsidRDefault="00EF3095">
      <w:pPr>
        <w:spacing w:after="0" w:line="240" w:lineRule="auto"/>
        <w:rPr>
          <w:rFonts w:ascii="Federo" w:eastAsia="Federo" w:hAnsi="Federo" w:cs="Federo"/>
          <w:b/>
          <w:bCs/>
          <w:color w:val="000000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19050</wp:posOffset>
                </wp:positionV>
                <wp:extent cx="5749925" cy="492125"/>
                <wp:effectExtent l="0" t="0" r="0" b="0"/>
                <wp:wrapNone/>
                <wp:docPr id="2128886580" name="212888658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3738" y="3546638"/>
                          <a:ext cx="5724525" cy="4667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125E0" w:rsidRDefault="00EF309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Rockwell" w:eastAsia="Rockwell" w:hAnsi="Rockwell" w:cs="Rockwell"/>
                                <w:b/>
                                <w:color w:val="0000CC"/>
                                <w:sz w:val="24"/>
                              </w:rPr>
                              <w:t>“PROMOVEMOS EL EMPRENDIMIENTO EN NUESTRAS FAMILIAS Y COMUNIDAD, PARA LUCHAR CONTRA LA POBREZA”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</wp:posOffset>
                </wp:positionH>
                <wp:positionV relativeFrom="paragraph">
                  <wp:posOffset>19050</wp:posOffset>
                </wp:positionV>
                <wp:extent cx="5749925" cy="492125"/>
                <wp:effectExtent b="0" l="0" r="0" t="0"/>
                <wp:wrapNone/>
                <wp:docPr id="212888658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9925" cy="492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125E0" w:rsidRDefault="007125E0">
      <w:pPr>
        <w:spacing w:after="0" w:line="240" w:lineRule="auto"/>
        <w:rPr>
          <w:rFonts w:ascii="Federo" w:eastAsia="Federo" w:hAnsi="Federo" w:cs="Federo"/>
          <w:b/>
          <w:bCs/>
          <w:color w:val="000000"/>
          <w:u w:val="single"/>
        </w:rPr>
      </w:pPr>
    </w:p>
    <w:p w:rsidR="007125E0" w:rsidRDefault="007125E0">
      <w:pPr>
        <w:spacing w:after="0" w:line="240" w:lineRule="auto"/>
        <w:rPr>
          <w:rFonts w:ascii="Federo" w:eastAsia="Federo" w:hAnsi="Federo" w:cs="Federo"/>
          <w:b/>
          <w:bCs/>
          <w:color w:val="000000"/>
          <w:u w:val="single"/>
        </w:rPr>
      </w:pPr>
    </w:p>
    <w:p w:rsidR="007125E0" w:rsidRDefault="007125E0">
      <w:pPr>
        <w:spacing w:after="0" w:line="240" w:lineRule="auto"/>
        <w:rPr>
          <w:rFonts w:ascii="Federo" w:eastAsia="Federo" w:hAnsi="Federo" w:cs="Federo"/>
          <w:b/>
          <w:bCs/>
          <w:color w:val="000000"/>
          <w:u w:val="single"/>
        </w:rPr>
      </w:pPr>
    </w:p>
    <w:p w:rsidR="007125E0" w:rsidRDefault="00EF3095">
      <w:pPr>
        <w:spacing w:after="0" w:line="240" w:lineRule="auto"/>
        <w:rPr>
          <w:rFonts w:ascii="Rockwell" w:eastAsia="Rockwell" w:hAnsi="Rockwell" w:cs="Rockwell"/>
          <w:color w:val="0000CC"/>
          <w:sz w:val="24"/>
          <w:szCs w:val="24"/>
        </w:rPr>
      </w:pPr>
      <w:r>
        <w:rPr>
          <w:rFonts w:ascii="Rockwell" w:eastAsia="Rockwell" w:hAnsi="Rockwell" w:cs="Rockwell"/>
          <w:b/>
          <w:bCs/>
          <w:color w:val="0000CC"/>
          <w:sz w:val="24"/>
          <w:szCs w:val="24"/>
        </w:rPr>
        <w:t>I. DATOS INFORMATIVOS:</w:t>
      </w:r>
      <w:r>
        <w:rPr>
          <w:rFonts w:ascii="Rockwell" w:eastAsia="Rockwell" w:hAnsi="Rockwell" w:cs="Rockwell"/>
          <w:color w:val="0000CC"/>
          <w:sz w:val="24"/>
          <w:szCs w:val="24"/>
        </w:rPr>
        <w:t xml:space="preserve"> </w:t>
      </w:r>
    </w:p>
    <w:tbl>
      <w:tblPr>
        <w:tblStyle w:val="a8"/>
        <w:tblpPr w:leftFromText="141" w:rightFromText="141" w:vertAnchor="text" w:tblpY="1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7087"/>
      </w:tblGrid>
      <w:tr w:rsidR="007125E0">
        <w:tc>
          <w:tcPr>
            <w:tcW w:w="3114" w:type="dxa"/>
            <w:shd w:val="clear" w:color="auto" w:fill="BFBFBF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bookmarkStart w:id="1" w:name="_heading=h.5c61bc3b1x56" w:colFirst="0" w:colLast="0"/>
            <w:bookmarkEnd w:id="1"/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I.E:</w:t>
            </w:r>
          </w:p>
        </w:tc>
        <w:tc>
          <w:tcPr>
            <w:tcW w:w="7087" w:type="dxa"/>
            <w:shd w:val="clear" w:color="auto" w:fill="auto"/>
          </w:tcPr>
          <w:p w:rsidR="007125E0" w:rsidRDefault="00D6182B" w:rsidP="00D61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40430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Jose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Simeon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Tejeda</w:t>
            </w:r>
          </w:p>
        </w:tc>
      </w:tr>
      <w:tr w:rsidR="007125E0">
        <w:tc>
          <w:tcPr>
            <w:tcW w:w="3114" w:type="dxa"/>
            <w:shd w:val="clear" w:color="auto" w:fill="BFBFBF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NIVEL:</w:t>
            </w:r>
          </w:p>
        </w:tc>
        <w:tc>
          <w:tcPr>
            <w:tcW w:w="7087" w:type="dxa"/>
            <w:shd w:val="clear" w:color="auto" w:fill="auto"/>
          </w:tcPr>
          <w:p w:rsidR="007125E0" w:rsidRDefault="00EF3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Secundaria</w:t>
            </w:r>
          </w:p>
        </w:tc>
      </w:tr>
      <w:tr w:rsidR="007125E0">
        <w:tc>
          <w:tcPr>
            <w:tcW w:w="3114" w:type="dxa"/>
            <w:shd w:val="clear" w:color="auto" w:fill="BFBFBF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ÁREA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:</w:t>
            </w:r>
          </w:p>
        </w:tc>
        <w:tc>
          <w:tcPr>
            <w:tcW w:w="7087" w:type="dxa"/>
            <w:shd w:val="clear" w:color="auto" w:fill="auto"/>
          </w:tcPr>
          <w:p w:rsidR="007125E0" w:rsidRDefault="00EF3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Matemática</w:t>
            </w:r>
          </w:p>
        </w:tc>
      </w:tr>
      <w:tr w:rsidR="007125E0">
        <w:tc>
          <w:tcPr>
            <w:tcW w:w="3114" w:type="dxa"/>
            <w:shd w:val="clear" w:color="auto" w:fill="BFBFBF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GRADO:</w:t>
            </w:r>
          </w:p>
        </w:tc>
        <w:tc>
          <w:tcPr>
            <w:tcW w:w="7087" w:type="dxa"/>
            <w:shd w:val="clear" w:color="auto" w:fill="auto"/>
          </w:tcPr>
          <w:p w:rsidR="007125E0" w:rsidRDefault="00EF3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1er grado </w:t>
            </w:r>
          </w:p>
        </w:tc>
      </w:tr>
      <w:tr w:rsidR="007125E0">
        <w:tc>
          <w:tcPr>
            <w:tcW w:w="3114" w:type="dxa"/>
            <w:shd w:val="clear" w:color="auto" w:fill="BFBFBF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FECHA:</w:t>
            </w:r>
          </w:p>
        </w:tc>
        <w:tc>
          <w:tcPr>
            <w:tcW w:w="7087" w:type="dxa"/>
            <w:shd w:val="clear" w:color="auto" w:fill="auto"/>
          </w:tcPr>
          <w:p w:rsidR="007125E0" w:rsidRDefault="00EF3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Del 17 de noviembre al 19 de diciembre del 2025</w:t>
            </w:r>
          </w:p>
        </w:tc>
      </w:tr>
      <w:tr w:rsidR="007125E0">
        <w:tc>
          <w:tcPr>
            <w:tcW w:w="3114" w:type="dxa"/>
            <w:shd w:val="clear" w:color="auto" w:fill="BFBFBF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PERIODO DE EJECUCIÓN:</w:t>
            </w:r>
          </w:p>
        </w:tc>
        <w:tc>
          <w:tcPr>
            <w:tcW w:w="7087" w:type="dxa"/>
            <w:shd w:val="clear" w:color="auto" w:fill="auto"/>
          </w:tcPr>
          <w:p w:rsidR="007125E0" w:rsidRDefault="00EF3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5 semanas</w:t>
            </w:r>
          </w:p>
        </w:tc>
      </w:tr>
      <w:tr w:rsidR="007125E0" w:rsidRPr="00D6182B">
        <w:tc>
          <w:tcPr>
            <w:tcW w:w="3114" w:type="dxa"/>
            <w:shd w:val="clear" w:color="auto" w:fill="BFBFBF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DOCENTE:</w:t>
            </w:r>
          </w:p>
        </w:tc>
        <w:tc>
          <w:tcPr>
            <w:tcW w:w="7087" w:type="dxa"/>
            <w:shd w:val="clear" w:color="auto" w:fill="auto"/>
          </w:tcPr>
          <w:p w:rsidR="007125E0" w:rsidRPr="00D6182B" w:rsidRDefault="00EF3095" w:rsidP="00D6182B">
            <w:pPr>
              <w:rPr>
                <w:rFonts w:ascii="Arial Narrow" w:eastAsia="Arial Narrow" w:hAnsi="Arial Narrow" w:cs="Arial Narrow"/>
                <w:b/>
                <w:bCs/>
                <w:color w:val="000000"/>
                <w:lang w:val="en-US"/>
              </w:rPr>
            </w:pPr>
            <w:r w:rsidRPr="00D6182B">
              <w:rPr>
                <w:rFonts w:ascii="Arial Narrow" w:eastAsia="Arial Narrow" w:hAnsi="Arial Narrow" w:cs="Arial Narrow"/>
                <w:b/>
                <w:bCs/>
                <w:color w:val="000000"/>
                <w:lang w:val="en-US"/>
              </w:rPr>
              <w:t xml:space="preserve">LIC. </w:t>
            </w:r>
            <w:r w:rsidR="00D6182B">
              <w:rPr>
                <w:rFonts w:ascii="Arial Narrow" w:eastAsia="Arial Narrow" w:hAnsi="Arial Narrow" w:cs="Arial Narrow"/>
                <w:b/>
                <w:bCs/>
                <w:color w:val="000000"/>
                <w:lang w:val="en-US"/>
              </w:rPr>
              <w:t>Leonardo Concha Rosas</w:t>
            </w:r>
          </w:p>
        </w:tc>
      </w:tr>
      <w:tr w:rsidR="007125E0">
        <w:tc>
          <w:tcPr>
            <w:tcW w:w="3114" w:type="dxa"/>
            <w:shd w:val="clear" w:color="auto" w:fill="BFBFBF"/>
          </w:tcPr>
          <w:p w:rsidR="007125E0" w:rsidRDefault="00EF3095" w:rsidP="00D6182B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DIRECTOR:</w:t>
            </w:r>
          </w:p>
        </w:tc>
        <w:tc>
          <w:tcPr>
            <w:tcW w:w="7087" w:type="dxa"/>
            <w:shd w:val="clear" w:color="auto" w:fill="auto"/>
          </w:tcPr>
          <w:p w:rsidR="007125E0" w:rsidRDefault="00D6182B" w:rsidP="00D6182B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 Prof. Paul Sonco Mamani</w:t>
            </w:r>
          </w:p>
        </w:tc>
      </w:tr>
    </w:tbl>
    <w:p w:rsidR="007125E0" w:rsidRDefault="007125E0">
      <w:pP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</w:p>
    <w:p w:rsidR="007125E0" w:rsidRDefault="00EF3095">
      <w:pPr>
        <w:spacing w:after="0" w:line="240" w:lineRule="auto"/>
        <w:rPr>
          <w:rFonts w:ascii="Rockwell" w:eastAsia="Rockwell" w:hAnsi="Rockwell" w:cs="Rockwell"/>
          <w:b/>
          <w:bCs/>
          <w:color w:val="0000CC"/>
          <w:sz w:val="24"/>
          <w:szCs w:val="24"/>
        </w:rPr>
      </w:pPr>
      <w:r>
        <w:rPr>
          <w:rFonts w:ascii="Rockwell" w:eastAsia="Rockwell" w:hAnsi="Rockwell" w:cs="Rockwell"/>
          <w:b/>
          <w:bCs/>
          <w:color w:val="0000CC"/>
          <w:sz w:val="24"/>
          <w:szCs w:val="24"/>
        </w:rPr>
        <w:t>II. SITUACION SIGNIFICATIVA:</w:t>
      </w:r>
      <w:r>
        <w:rPr>
          <w:rFonts w:ascii="Rockwell" w:eastAsia="Rockwell" w:hAnsi="Rockwell" w:cs="Rockwell"/>
          <w:color w:val="0000CC"/>
          <w:sz w:val="24"/>
          <w:szCs w:val="24"/>
        </w:rPr>
        <w:t xml:space="preserve"> </w:t>
      </w:r>
    </w:p>
    <w:tbl>
      <w:tblPr>
        <w:tblStyle w:val="a9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1"/>
      </w:tblGrid>
      <w:tr w:rsidR="007125E0">
        <w:trPr>
          <w:trHeight w:val="2468"/>
        </w:trPr>
        <w:tc>
          <w:tcPr>
            <w:tcW w:w="10201" w:type="dxa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En 1960, los hermanos Flores se enfrentaron a la temprana y dolorosa pérdida de su padre. Este suceso, sumado a las escasas oportunidades de sustento en su pueblo natal, los motivó a tomar una decisión crucial: emigrar a </w:t>
            </w:r>
            <w:r w:rsidR="00D6182B">
              <w:rPr>
                <w:rFonts w:ascii="Arial Narrow" w:eastAsia="Arial Narrow" w:hAnsi="Arial Narrow" w:cs="Arial Narrow"/>
                <w:color w:val="000000"/>
              </w:rPr>
              <w:t xml:space="preserve">Arequipa </w:t>
            </w:r>
            <w:r>
              <w:rPr>
                <w:rFonts w:ascii="Arial Narrow" w:eastAsia="Arial Narrow" w:hAnsi="Arial Narrow" w:cs="Arial Narrow"/>
                <w:color w:val="000000"/>
              </w:rPr>
              <w:t>la capital.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-19405</wp:posOffset>
                  </wp:positionH>
                  <wp:positionV relativeFrom="paragraph">
                    <wp:posOffset>31165</wp:posOffset>
                  </wp:positionV>
                  <wp:extent cx="1528445" cy="1229995"/>
                  <wp:effectExtent l="0" t="0" r="0" b="0"/>
                  <wp:wrapSquare wrapText="bothSides" distT="0" distB="0" distL="114300" distR="114300"/>
                  <wp:docPr id="212888658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45" cy="1229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Una vez en </w:t>
            </w:r>
            <w:r w:rsidR="00D6182B">
              <w:rPr>
                <w:rFonts w:ascii="Arial Narrow" w:eastAsia="Arial Narrow" w:hAnsi="Arial Narrow" w:cs="Arial Narrow"/>
                <w:color w:val="000000"/>
              </w:rPr>
              <w:t>Arequipa</w:t>
            </w:r>
            <w:r>
              <w:rPr>
                <w:rFonts w:ascii="Arial Narrow" w:eastAsia="Arial Narrow" w:hAnsi="Arial Narrow" w:cs="Arial Narrow"/>
                <w:color w:val="000000"/>
              </w:rPr>
              <w:t>, los hermanos iniciaron su camino empresarial vendiendo polos en las calles. Pronto, buscando aumentar sus ingresos, innovaron: comenzaron a comprar polos al por mayor para estamparles figuras creativas. Esta estrategia tuvo una gran acogida. Con el fruto de su esfuerzo, y tras un periodo de intenso trabajo, lograron adquirir máquinas de coser y telas, dando un paso decisivo hacia la confección propia. Ante el éxito de sus prendas, decidieron fundar un pequeño taller textil. El espíritu solidario de los hermanos Flores los llevó a invitar a sus paisanos a migrar y trabajar con ellos en la capital. Así nació TOPITOP, que hoy en día es una de las marcas textiles más importantes y reconocidas del país. Inspirados en esta historia de éxito, nos planteamos el siguiente reto: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¿Cómo podemos promover el emprendimiento a través del uso sostenible de los recursos naturales de tu localidad, para el bienestar de nuestra familia y comunidad? Además, abriremos la discusión a la siguiente interrogante: ¿Qué otras historias de éxito empresarial conoces en tu localidad que demuestren un camino similar de esfuerzo y crecimiento?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Para responder estas preguntas, indagaremos en fuentes especializadas y aplicaremos lo aprendido, utilizando herramientas del conocimiento matemático como el cálculo de medidas de tendencia central (media, mediana y moda), probabilidades, transformaciones geométricas, mapas y planos a escala.</w:t>
            </w:r>
          </w:p>
        </w:tc>
      </w:tr>
    </w:tbl>
    <w:p w:rsidR="007125E0" w:rsidRDefault="007125E0">
      <w:pPr>
        <w:spacing w:after="0" w:line="240" w:lineRule="auto"/>
        <w:rPr>
          <w:rFonts w:ascii="Arial Narrow" w:eastAsia="Arial Narrow" w:hAnsi="Arial Narrow" w:cs="Arial Narrow"/>
          <w:color w:val="000000"/>
        </w:rPr>
      </w:pPr>
    </w:p>
    <w:p w:rsidR="007125E0" w:rsidRDefault="00EF3095">
      <w:pPr>
        <w:spacing w:after="0" w:line="240" w:lineRule="auto"/>
        <w:rPr>
          <w:rFonts w:ascii="Rockwell" w:eastAsia="Rockwell" w:hAnsi="Rockwell" w:cs="Rockwell"/>
          <w:b/>
          <w:bCs/>
          <w:color w:val="0000CC"/>
          <w:sz w:val="24"/>
          <w:szCs w:val="24"/>
        </w:rPr>
      </w:pPr>
      <w:r>
        <w:rPr>
          <w:rFonts w:ascii="Rockwell" w:eastAsia="Rockwell" w:hAnsi="Rockwell" w:cs="Rockwell"/>
          <w:b/>
          <w:bCs/>
          <w:color w:val="0000CC"/>
          <w:sz w:val="24"/>
          <w:szCs w:val="24"/>
        </w:rPr>
        <w:t>III. PROPÓSITO Y PRODUCTO DE LA UNIDAD DE APRENDIZAJE:</w:t>
      </w:r>
    </w:p>
    <w:tbl>
      <w:tblPr>
        <w:tblStyle w:val="aa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4961"/>
      </w:tblGrid>
      <w:tr w:rsidR="007125E0">
        <w:tc>
          <w:tcPr>
            <w:tcW w:w="5240" w:type="dxa"/>
            <w:shd w:val="clear" w:color="auto" w:fill="BFBFBF"/>
          </w:tcPr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PROPÓSITO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 </w:t>
            </w:r>
          </w:p>
        </w:tc>
        <w:tc>
          <w:tcPr>
            <w:tcW w:w="4961" w:type="dxa"/>
            <w:shd w:val="clear" w:color="auto" w:fill="BFBFBF"/>
          </w:tcPr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PRODUCTO </w:t>
            </w:r>
          </w:p>
        </w:tc>
      </w:tr>
      <w:tr w:rsidR="007125E0">
        <w:trPr>
          <w:trHeight w:val="971"/>
        </w:trPr>
        <w:tc>
          <w:tcPr>
            <w:tcW w:w="5240" w:type="dxa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Promover en los estudiantes el emprendimiento, la capacidad de ser propositivos y asumir riesgos; esforzarse por lograr metas.  </w:t>
            </w:r>
            <w:r>
              <w:rPr>
                <w:rFonts w:ascii="Arial Narrow" w:eastAsia="Arial Narrow" w:hAnsi="Arial Narrow" w:cs="Arial Narrow"/>
                <w:color w:val="000000"/>
              </w:rPr>
              <w:t>U</w:t>
            </w:r>
            <w:r>
              <w:rPr>
                <w:rFonts w:ascii="Arial Narrow" w:eastAsia="Arial Narrow" w:hAnsi="Arial Narrow" w:cs="Arial Narrow"/>
              </w:rPr>
              <w:t xml:space="preserve">tilizando conocimientos matemáticos </w:t>
            </w:r>
            <w:r>
              <w:rPr>
                <w:rFonts w:ascii="Arial Narrow" w:eastAsia="Arial Narrow" w:hAnsi="Arial Narrow" w:cs="Arial Narrow"/>
                <w:color w:val="000000"/>
              </w:rPr>
              <w:t>como medidas de tendencia central (media, mediana y moda), probabilidades, transformaciones geométricas, mapas y planos a escala.</w:t>
            </w:r>
          </w:p>
        </w:tc>
        <w:tc>
          <w:tcPr>
            <w:tcW w:w="4961" w:type="dxa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Prototipos o planes innovadores y creativos de negocios que se podrían implementar en tu localidad</w:t>
            </w:r>
            <w:r>
              <w:rPr>
                <w:rFonts w:ascii="Arial Narrow" w:eastAsia="Arial Narrow" w:hAnsi="Arial Narrow" w:cs="Arial Narrow"/>
              </w:rPr>
              <w:t xml:space="preserve">, utilizando conocimientos matemáticos </w:t>
            </w:r>
            <w:r>
              <w:rPr>
                <w:rFonts w:ascii="Arial Narrow" w:eastAsia="Arial Narrow" w:hAnsi="Arial Narrow" w:cs="Arial Narrow"/>
                <w:color w:val="000000"/>
              </w:rPr>
              <w:t>como medidas de tendencia central (media, mediana y moda), probabilidades, transformaciones geométricas, mapas y planos a escala.</w:t>
            </w:r>
          </w:p>
        </w:tc>
      </w:tr>
    </w:tbl>
    <w:p w:rsidR="007125E0" w:rsidRDefault="007125E0">
      <w:pP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</w:p>
    <w:p w:rsidR="007125E0" w:rsidRDefault="00EF3095">
      <w:pPr>
        <w:spacing w:after="0" w:line="240" w:lineRule="auto"/>
        <w:rPr>
          <w:rFonts w:ascii="Rockwell" w:eastAsia="Rockwell" w:hAnsi="Rockwell" w:cs="Rockwell"/>
          <w:b/>
          <w:bCs/>
          <w:color w:val="0000CC"/>
          <w:sz w:val="24"/>
          <w:szCs w:val="24"/>
        </w:rPr>
      </w:pPr>
      <w:r>
        <w:rPr>
          <w:rFonts w:ascii="Rockwell" w:eastAsia="Rockwell" w:hAnsi="Rockwell" w:cs="Rockwell"/>
          <w:b/>
          <w:bCs/>
          <w:color w:val="0000CC"/>
          <w:sz w:val="24"/>
          <w:szCs w:val="24"/>
        </w:rPr>
        <w:t>IV. PROPÓSITO DE APRENDIZAJE:</w:t>
      </w:r>
      <w:r>
        <w:rPr>
          <w:rFonts w:ascii="Rockwell" w:eastAsia="Rockwell" w:hAnsi="Rockwell" w:cs="Rockwell"/>
          <w:color w:val="0000CC"/>
          <w:sz w:val="24"/>
          <w:szCs w:val="24"/>
        </w:rPr>
        <w:t xml:space="preserve"> </w:t>
      </w:r>
    </w:p>
    <w:tbl>
      <w:tblPr>
        <w:tblStyle w:val="ab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0"/>
        <w:gridCol w:w="2578"/>
        <w:gridCol w:w="5953"/>
      </w:tblGrid>
      <w:tr w:rsidR="007125E0">
        <w:tc>
          <w:tcPr>
            <w:tcW w:w="1670" w:type="dxa"/>
            <w:shd w:val="clear" w:color="auto" w:fill="BFBFBF"/>
          </w:tcPr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COMPETENCIAS </w:t>
            </w:r>
          </w:p>
        </w:tc>
        <w:tc>
          <w:tcPr>
            <w:tcW w:w="2578" w:type="dxa"/>
            <w:shd w:val="clear" w:color="auto" w:fill="BFBFBF"/>
          </w:tcPr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CAPACIDADES</w:t>
            </w:r>
          </w:p>
        </w:tc>
        <w:tc>
          <w:tcPr>
            <w:tcW w:w="5953" w:type="dxa"/>
            <w:shd w:val="clear" w:color="auto" w:fill="BFBFBF"/>
          </w:tcPr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DESEMPEÑOS PRECISADOS</w:t>
            </w:r>
          </w:p>
        </w:tc>
      </w:tr>
      <w:tr w:rsidR="007125E0">
        <w:tc>
          <w:tcPr>
            <w:tcW w:w="1670" w:type="dxa"/>
            <w:shd w:val="clear" w:color="auto" w:fill="auto"/>
          </w:tcPr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Resuelve problemas de gestión de datos e incertidumbre</w:t>
            </w:r>
          </w:p>
        </w:tc>
        <w:tc>
          <w:tcPr>
            <w:tcW w:w="2578" w:type="dxa"/>
            <w:shd w:val="clear" w:color="auto" w:fill="auto"/>
          </w:tcPr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Representa datos con gráficos y medidas estadísticas o probabilísticas.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Comunica su comprensión de los conceptos estadísticos y probabilísticos.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Usa estrategias y procedimientos para recopilar y procesar datos.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lastRenderedPageBreak/>
              <w:t>- Sustenta conclusiones o decisiones con base en la información obtenida</w:t>
            </w:r>
          </w:p>
        </w:tc>
        <w:tc>
          <w:tcPr>
            <w:tcW w:w="5953" w:type="dxa"/>
            <w:shd w:val="clear" w:color="auto" w:fill="auto"/>
          </w:tcPr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lastRenderedPageBreak/>
              <w:t>- Compara las tres medidas de tendencia central (media, mediana y moda) y determina cuál es la medida más representativa o apropiada.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Identifica y estima las medidas de tendencia central a partir de la observación de un gráfico de barras o circular.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Determina la media aritmética, la mediana y la moda para un conjunto de datos no agrupados (tanto un número impar como par de datos).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Utiliza las medidas de tendencia central para analizar e interpretar datos de una situación real y formula una conclusión o toma una decisión.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lastRenderedPageBreak/>
              <w:t xml:space="preserve">- Identifica y enumera correctamente el espacio </w:t>
            </w:r>
            <w:proofErr w:type="spellStart"/>
            <w:r>
              <w:rPr>
                <w:rFonts w:ascii="Arial Narrow" w:eastAsia="Arial Narrow" w:hAnsi="Arial Narrow" w:cs="Arial Narrow"/>
              </w:rPr>
              <w:t>muestral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de un experimento aleatorio simple y determina el número de casos favorables para dicho evento.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Determina la probabilidad teórica de un evento simple utilizando la Regla de Laplace y expresa el resultado en formato de fracción simplificada, decimal y porcentaje.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Determina la probabilidad de que un evento simple no ocurra (evento complemento) utilizando la relación: P(A</w:t>
            </w:r>
            <w:r>
              <w:rPr>
                <w:rFonts w:ascii="Arial Narrow" w:eastAsia="Arial Narrow" w:hAnsi="Arial Narrow" w:cs="Arial Narrow"/>
                <w:vertAlign w:val="superscript"/>
              </w:rPr>
              <w:t>C</w:t>
            </w:r>
            <w:r>
              <w:rPr>
                <w:rFonts w:ascii="Arial Narrow" w:eastAsia="Arial Narrow" w:hAnsi="Arial Narrow" w:cs="Arial Narrow"/>
              </w:rPr>
              <w:t>) = 1 – P(A)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</w:rPr>
              <w:t xml:space="preserve">- Plantea conclusiones válidas sobre la probabilidad de ocurrencia de sucesos en un contexto dado. </w:t>
            </w:r>
          </w:p>
        </w:tc>
      </w:tr>
      <w:tr w:rsidR="007125E0">
        <w:tc>
          <w:tcPr>
            <w:tcW w:w="1670" w:type="dxa"/>
            <w:shd w:val="clear" w:color="auto" w:fill="auto"/>
          </w:tcPr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lastRenderedPageBreak/>
              <w:t>Resuelve problemas de forma, movimiento y localización.</w:t>
            </w:r>
          </w:p>
        </w:tc>
        <w:tc>
          <w:tcPr>
            <w:tcW w:w="2578" w:type="dxa"/>
            <w:shd w:val="clear" w:color="auto" w:fill="auto"/>
          </w:tcPr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Modela objetos con formas geométricas y sus transformaciones.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Comunica su comprensión sobre las formas y relaciones geométricas.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Usa estrategias y procedimientos para medir y orientarse en el espacio.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Argumenta afirmaciones sobre relaciones geométricas.</w:t>
            </w:r>
          </w:p>
        </w:tc>
        <w:tc>
          <w:tcPr>
            <w:tcW w:w="5953" w:type="dxa"/>
            <w:shd w:val="clear" w:color="auto" w:fill="auto"/>
          </w:tcPr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Describe un objeto (forma bidimensional) y el resultado de su imagen a partir de la aplicación de una o una secuencia de transformaciones isométricas (traslación, rotación, o reflexión).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El estudiante expresa con claridad la comprensión conceptual de cada transformación, estableciendo las diferencias entre ellas.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Emplea y ejecuta estrategias y procedimientos específicos para realizar las transformaciones geométricas de traslación, rotación y reflexión sobre figuras planas, verificando la congruencia entre la figura original y la imagen.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Justifica afirmaciones sobre la invariancia de propiedades (como longitud de lados, medida de ángulos y área) antes y después de aplicar una transformación isométrica.</w:t>
            </w:r>
          </w:p>
        </w:tc>
      </w:tr>
    </w:tbl>
    <w:p w:rsidR="007125E0" w:rsidRDefault="007125E0">
      <w:pP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</w:p>
    <w:p w:rsidR="007125E0" w:rsidRDefault="00EF3095">
      <w:pPr>
        <w:spacing w:after="0" w:line="240" w:lineRule="auto"/>
        <w:rPr>
          <w:rFonts w:ascii="Rockwell" w:eastAsia="Rockwell" w:hAnsi="Rockwell" w:cs="Rockwell"/>
          <w:b/>
          <w:bCs/>
          <w:color w:val="0000CC"/>
          <w:sz w:val="24"/>
          <w:szCs w:val="24"/>
        </w:rPr>
      </w:pPr>
      <w:r>
        <w:rPr>
          <w:rFonts w:ascii="Rockwell" w:eastAsia="Rockwell" w:hAnsi="Rockwell" w:cs="Rockwell"/>
          <w:b/>
          <w:bCs/>
          <w:color w:val="0000CC"/>
          <w:sz w:val="24"/>
          <w:szCs w:val="24"/>
        </w:rPr>
        <w:t>V. COMPETENCIAS TRANSVERSALES:</w:t>
      </w:r>
    </w:p>
    <w:tbl>
      <w:tblPr>
        <w:tblStyle w:val="ac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0"/>
        <w:gridCol w:w="1727"/>
        <w:gridCol w:w="3402"/>
        <w:gridCol w:w="3402"/>
      </w:tblGrid>
      <w:tr w:rsidR="007125E0">
        <w:tc>
          <w:tcPr>
            <w:tcW w:w="1670" w:type="dxa"/>
            <w:shd w:val="clear" w:color="auto" w:fill="BFBFBF"/>
          </w:tcPr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COMPETENCIAS</w:t>
            </w:r>
          </w:p>
        </w:tc>
        <w:tc>
          <w:tcPr>
            <w:tcW w:w="1727" w:type="dxa"/>
            <w:shd w:val="clear" w:color="auto" w:fill="BFBFBF"/>
          </w:tcPr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CAPACIDADES</w:t>
            </w:r>
          </w:p>
        </w:tc>
        <w:tc>
          <w:tcPr>
            <w:tcW w:w="3402" w:type="dxa"/>
            <w:shd w:val="clear" w:color="auto" w:fill="BFBFBF"/>
          </w:tcPr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DESEMPEÑOS</w:t>
            </w:r>
          </w:p>
        </w:tc>
        <w:tc>
          <w:tcPr>
            <w:tcW w:w="3402" w:type="dxa"/>
            <w:shd w:val="clear" w:color="auto" w:fill="BFBFBF"/>
          </w:tcPr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ACTIVIDADES SUGERIDAS</w:t>
            </w:r>
          </w:p>
        </w:tc>
      </w:tr>
      <w:tr w:rsidR="007125E0">
        <w:tc>
          <w:tcPr>
            <w:tcW w:w="1670" w:type="dxa"/>
          </w:tcPr>
          <w:p w:rsidR="007125E0" w:rsidRDefault="00EF3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Se desenvuelve en entornos virtuales generados por las TIC</w:t>
            </w:r>
          </w:p>
          <w:p w:rsidR="007125E0" w:rsidRDefault="007125E0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727" w:type="dxa"/>
          </w:tcPr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Gestiona información del entorno virtual.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Interactúa en entornos virtuales.</w:t>
            </w:r>
          </w:p>
        </w:tc>
        <w:tc>
          <w:tcPr>
            <w:tcW w:w="3402" w:type="dxa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Clasifica información de diversas fuentes y entornos teniendo en cuenta la pertinencia y exactitud del contenido reconociendo los derechos de autor.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Participa en actividades interactivas y comunicativas de manera pertinente cuando expresa su identidad personal y sociocultural en entornos virtuales</w:t>
            </w:r>
          </w:p>
        </w:tc>
        <w:tc>
          <w:tcPr>
            <w:tcW w:w="3402" w:type="dxa"/>
          </w:tcPr>
          <w:p w:rsidR="007125E0" w:rsidRDefault="00EF3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El estudiante busca información en diferentes fuentes (libros, internet, artículos) para un proyecto o tarea.</w:t>
            </w:r>
          </w:p>
          <w:p w:rsidR="007125E0" w:rsidRDefault="00EF3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Utiliza las herramientas digitales de manera efectiva para expresar su identidad personal y sociocultural, como presentaciones multimedia o blogs personales.</w:t>
            </w:r>
          </w:p>
        </w:tc>
      </w:tr>
      <w:tr w:rsidR="007125E0">
        <w:tc>
          <w:tcPr>
            <w:tcW w:w="1670" w:type="dxa"/>
          </w:tcPr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Gestiona su aprendizaje de manera autónoma.</w:t>
            </w:r>
          </w:p>
        </w:tc>
        <w:tc>
          <w:tcPr>
            <w:tcW w:w="1727" w:type="dxa"/>
          </w:tcPr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Define metas de aprendizaje.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Organiza acciones estratégicas para alcanzar sus metas de aprendizaje.</w:t>
            </w:r>
          </w:p>
        </w:tc>
        <w:tc>
          <w:tcPr>
            <w:tcW w:w="3402" w:type="dxa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Determina metas de aprendizaje viables asociadas a sus conocimientos, estilos de aprendizaje, habilidades y actitudes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Organiza un conjunto de estrategias y procedimientos en función del tiempo y de los recursos de que dispone para lograr las metas de aprendizaje</w:t>
            </w:r>
          </w:p>
        </w:tc>
        <w:tc>
          <w:tcPr>
            <w:tcW w:w="3402" w:type="dxa"/>
          </w:tcPr>
          <w:p w:rsidR="007125E0" w:rsidRDefault="00EF3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El estudiante identifica sus fortalezas y áreas de mejora en matemáticas y establece objetivos claros y alcanzables.</w:t>
            </w:r>
          </w:p>
          <w:p w:rsidR="007125E0" w:rsidRDefault="00EF3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El estudiante planea un cronograma de estudio, asignando tiempo específico para diferentes temas o actividades matemáticas.</w:t>
            </w:r>
          </w:p>
        </w:tc>
      </w:tr>
    </w:tbl>
    <w:p w:rsidR="007125E0" w:rsidRDefault="007125E0">
      <w:pP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</w:p>
    <w:p w:rsidR="007125E0" w:rsidRDefault="00EF3095">
      <w:pPr>
        <w:spacing w:after="0" w:line="240" w:lineRule="auto"/>
        <w:rPr>
          <w:rFonts w:ascii="Rockwell" w:eastAsia="Rockwell" w:hAnsi="Rockwell" w:cs="Rockwell"/>
          <w:b/>
          <w:bCs/>
          <w:color w:val="0000CC"/>
          <w:sz w:val="24"/>
          <w:szCs w:val="24"/>
        </w:rPr>
      </w:pPr>
      <w:r>
        <w:rPr>
          <w:rFonts w:ascii="Rockwell" w:eastAsia="Rockwell" w:hAnsi="Rockwell" w:cs="Rockwell"/>
          <w:b/>
          <w:bCs/>
          <w:color w:val="0000CC"/>
          <w:sz w:val="24"/>
          <w:szCs w:val="24"/>
        </w:rPr>
        <w:t>VI. ENFOQUES TRANSVERSALES:</w:t>
      </w:r>
    </w:p>
    <w:tbl>
      <w:tblPr>
        <w:tblStyle w:val="ad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788"/>
      </w:tblGrid>
      <w:tr w:rsidR="007125E0">
        <w:tc>
          <w:tcPr>
            <w:tcW w:w="10201" w:type="dxa"/>
            <w:gridSpan w:val="2"/>
            <w:shd w:val="clear" w:color="auto" w:fill="BFBFBF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ENFOQUE BÚSQUEDA DE LA EXCELENCIA.</w:t>
            </w:r>
          </w:p>
        </w:tc>
      </w:tr>
      <w:tr w:rsidR="007125E0">
        <w:tc>
          <w:tcPr>
            <w:tcW w:w="1413" w:type="dxa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Valor</w:t>
            </w:r>
          </w:p>
        </w:tc>
        <w:tc>
          <w:tcPr>
            <w:tcW w:w="8788" w:type="dxa"/>
          </w:tcPr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Superación personal.</w:t>
            </w:r>
          </w:p>
        </w:tc>
      </w:tr>
      <w:tr w:rsidR="007125E0">
        <w:tc>
          <w:tcPr>
            <w:tcW w:w="1413" w:type="dxa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Actitud</w:t>
            </w:r>
          </w:p>
        </w:tc>
        <w:tc>
          <w:tcPr>
            <w:tcW w:w="8788" w:type="dxa"/>
          </w:tcPr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Disposición a adquirir cualidades que </w:t>
            </w:r>
            <w:r>
              <w:rPr>
                <w:rFonts w:ascii="Arial Narrow" w:eastAsia="Arial Narrow" w:hAnsi="Arial Narrow" w:cs="Arial Narrow"/>
              </w:rPr>
              <w:t>mejorarán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 el propio desempeño y aumentaran el estado de satisfacción consigo mismo y con las circunstancias.</w:t>
            </w:r>
          </w:p>
        </w:tc>
      </w:tr>
      <w:tr w:rsidR="007125E0">
        <w:tc>
          <w:tcPr>
            <w:tcW w:w="1413" w:type="dxa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Ejemplo</w:t>
            </w:r>
          </w:p>
        </w:tc>
        <w:tc>
          <w:tcPr>
            <w:tcW w:w="8788" w:type="dxa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Docentes y estudiantes utilizan sus cualidades y recursos al máximo posible para cumplir con éxito las metas que se proponen a nivel personal y colectivo.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Docentes y estudiantes se esfuerzan por superarse, buscando objetivos que representen avances respecto de su actual nivel de posibilidades en determinados ámbitos de desempeño.</w:t>
            </w:r>
          </w:p>
        </w:tc>
      </w:tr>
    </w:tbl>
    <w:p w:rsidR="007125E0" w:rsidRDefault="007125E0">
      <w:pP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</w:p>
    <w:p w:rsidR="007125E0" w:rsidRDefault="007125E0">
      <w:pP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</w:p>
    <w:p w:rsidR="007125E0" w:rsidRDefault="007125E0">
      <w:pP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</w:p>
    <w:p w:rsidR="007125E0" w:rsidRDefault="007125E0">
      <w:pP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</w:p>
    <w:p w:rsidR="007125E0" w:rsidRDefault="007125E0">
      <w:pP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</w:p>
    <w:p w:rsidR="007125E0" w:rsidRDefault="00EF3095">
      <w:pPr>
        <w:spacing w:after="0" w:line="240" w:lineRule="auto"/>
        <w:rPr>
          <w:rFonts w:ascii="Rockwell" w:eastAsia="Rockwell" w:hAnsi="Rockwell" w:cs="Rockwell"/>
          <w:b/>
          <w:bCs/>
          <w:color w:val="0000CC"/>
          <w:sz w:val="24"/>
          <w:szCs w:val="24"/>
        </w:rPr>
      </w:pPr>
      <w:r>
        <w:rPr>
          <w:rFonts w:ascii="Rockwell" w:eastAsia="Rockwell" w:hAnsi="Rockwell" w:cs="Rockwell"/>
          <w:b/>
          <w:bCs/>
          <w:color w:val="0000CC"/>
          <w:sz w:val="24"/>
          <w:szCs w:val="24"/>
        </w:rPr>
        <w:t>VII. SECUENCIA DE SESIONES DE APRENDIZAJES:</w:t>
      </w:r>
    </w:p>
    <w:tbl>
      <w:tblPr>
        <w:tblStyle w:val="ae"/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7"/>
        <w:gridCol w:w="3291"/>
        <w:gridCol w:w="3260"/>
        <w:gridCol w:w="3118"/>
      </w:tblGrid>
      <w:tr w:rsidR="007125E0">
        <w:tc>
          <w:tcPr>
            <w:tcW w:w="537" w:type="dxa"/>
            <w:vMerge w:val="restart"/>
            <w:shd w:val="clear" w:color="auto" w:fill="BFBFBF"/>
          </w:tcPr>
          <w:p w:rsidR="007125E0" w:rsidRDefault="007125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7125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7125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7125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7125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E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M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N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</w:t>
            </w:r>
          </w:p>
          <w:p w:rsidR="007125E0" w:rsidRDefault="007125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1</w:t>
            </w:r>
          </w:p>
        </w:tc>
        <w:tc>
          <w:tcPr>
            <w:tcW w:w="3291" w:type="dxa"/>
            <w:shd w:val="clear" w:color="auto" w:fill="BFBFBF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SESIÓN N°01: “Resolvemos diversas situaciones utilizando medidas de tendencia central – Parte I”</w:t>
            </w:r>
          </w:p>
        </w:tc>
        <w:tc>
          <w:tcPr>
            <w:tcW w:w="3260" w:type="dxa"/>
            <w:shd w:val="clear" w:color="auto" w:fill="BFBFBF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SESIÓN N°02: “Resolvemos diversas situaciones utilizando medidas de tendencia central – Parte II”</w:t>
            </w:r>
          </w:p>
        </w:tc>
        <w:tc>
          <w:tcPr>
            <w:tcW w:w="3118" w:type="dxa"/>
            <w:shd w:val="clear" w:color="auto" w:fill="9CC3E5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SESIÓN DE REFUERZO N°03: “Utilizamos medidas de tendencia central para resolver diversas situaciones”</w:t>
            </w:r>
          </w:p>
        </w:tc>
      </w:tr>
      <w:tr w:rsidR="007125E0">
        <w:trPr>
          <w:trHeight w:val="497"/>
        </w:trPr>
        <w:tc>
          <w:tcPr>
            <w:tcW w:w="537" w:type="dxa"/>
            <w:vMerge/>
            <w:shd w:val="clear" w:color="auto" w:fill="BFBFBF"/>
          </w:tcPr>
          <w:p w:rsidR="007125E0" w:rsidRDefault="00712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3291" w:type="dxa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COMPETENCIA: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Resuelve problemas de gestión de datos e incertidumbre.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PROPÓSITO: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Determina las medidas de tendencia central de datos sueltos para conocer las características de una población.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CAMPOS TEMÁTICOS: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Media, mediana y moda de datos sueltos.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EVIDENCIA DE APRENDIZAJE: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El estudiante resuelve de manera autónoma diversas situaciones problemáticas, utilizando medidas de tendencia central en datos sueltos.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CRITERIO DE EVALUACIÓN: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Determina las medidas de tendencia central de datos sueltos para resolver diversas situaciones cotidianas.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</w:rPr>
              <w:t xml:space="preserve">- Formula conclusiones de una población a partir de sus medidas de tendencia central. </w:t>
            </w:r>
          </w:p>
        </w:tc>
        <w:tc>
          <w:tcPr>
            <w:tcW w:w="3260" w:type="dxa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COMPETENCIA: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Resuelve problemas de gestión de datos e incertidumbre.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PROPÓSITO: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Determina las medidas de tendencia central analizando gráficos estadísticos para conocer las características de una población.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CAMPOS TEMÁTICOS: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Media, mediana y moda de datos organizados en gráficos estadísticos.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EVIDENCIA DE APRENDIZAJE: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El estudiante resuelve de manera autónoma diversas situaciones problemáticas, utilizando medidas de tendencia central en datos sueltos.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CRITERIO DE EVALUACIÓN: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</w:t>
            </w:r>
            <w:r>
              <w:rPr>
                <w:rFonts w:ascii="Arial Narrow" w:eastAsia="Arial Narrow" w:hAnsi="Arial Narrow" w:cs="Arial Narrow"/>
              </w:rPr>
              <w:t xml:space="preserve"> Determina las medidas de tendencia central a partir de la observación de un gráfico de barras o circular.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</w:rPr>
              <w:t>- Formula conclusiones de una población a partir de sus medidas de tendencia central.</w:t>
            </w:r>
          </w:p>
        </w:tc>
        <w:tc>
          <w:tcPr>
            <w:tcW w:w="3118" w:type="dxa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COMPETENCIA: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Resuelve problemas de gestión de datos e incertidumbre.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PROPÓSITO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</w:rPr>
              <w:t xml:space="preserve">Determina las medidas de tendencia central de datos sueltos </w:t>
            </w:r>
            <w:r>
              <w:rPr>
                <w:rFonts w:ascii="Arial Narrow" w:eastAsia="Arial Narrow" w:hAnsi="Arial Narrow" w:cs="Arial Narrow"/>
                <w:color w:val="000000"/>
              </w:rPr>
              <w:t>para resolver diversas situaciones cotidianas.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CAMPOS </w:t>
            </w:r>
            <w:r>
              <w:rPr>
                <w:rFonts w:ascii="Arial Narrow" w:eastAsia="Arial Narrow" w:hAnsi="Arial Narrow" w:cs="Arial Narrow"/>
                <w:b/>
                <w:bCs/>
              </w:rPr>
              <w:t>TEMÁTICOS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: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Media, mediana y moda de datos sueltos.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EVIDENCIA DE APRENDIZAJE: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El estudiante resuelve de manera autónoma diversas situaciones problemáticas, utilizando medidas de tendencia central en datos sueltos.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CRITERIO DE EVALUACIÓN: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Determina las medidas de tendencia central de datos sueltos para resolver diversas situaciones cotidianas.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</w:rPr>
              <w:t>- Formula conclusiones de una población a partir de sus medidas de tendencia central.</w:t>
            </w:r>
          </w:p>
        </w:tc>
      </w:tr>
      <w:tr w:rsidR="007125E0">
        <w:tc>
          <w:tcPr>
            <w:tcW w:w="537" w:type="dxa"/>
            <w:vMerge w:val="restart"/>
            <w:shd w:val="clear" w:color="auto" w:fill="BFBFBF"/>
          </w:tcPr>
          <w:p w:rsidR="007125E0" w:rsidRDefault="007125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7125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7125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7125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7125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7125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7125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7125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E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M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N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</w:t>
            </w:r>
          </w:p>
          <w:p w:rsidR="007125E0" w:rsidRDefault="007125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2</w:t>
            </w:r>
          </w:p>
        </w:tc>
        <w:tc>
          <w:tcPr>
            <w:tcW w:w="3291" w:type="dxa"/>
            <w:shd w:val="clear" w:color="auto" w:fill="BFBFBF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SESIÓN N°04: “Resolvemos diversas situaciones utilizando probabilidades – Parte I”</w:t>
            </w:r>
          </w:p>
        </w:tc>
        <w:tc>
          <w:tcPr>
            <w:tcW w:w="3260" w:type="dxa"/>
            <w:shd w:val="clear" w:color="auto" w:fill="BFBFBF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SESIÓN N°05: “Resolvemos diversas situaciones utilizando probabilidades – Parte II”</w:t>
            </w:r>
          </w:p>
        </w:tc>
        <w:tc>
          <w:tcPr>
            <w:tcW w:w="3118" w:type="dxa"/>
            <w:shd w:val="clear" w:color="auto" w:fill="9CC3E5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SESIÓN DE REFUERZO N°06: “Utilizamos probabilidades en diversas situaciones cotidianas”</w:t>
            </w:r>
          </w:p>
        </w:tc>
      </w:tr>
      <w:tr w:rsidR="007125E0">
        <w:trPr>
          <w:trHeight w:val="442"/>
        </w:trPr>
        <w:tc>
          <w:tcPr>
            <w:tcW w:w="537" w:type="dxa"/>
            <w:vMerge/>
            <w:shd w:val="clear" w:color="auto" w:fill="BFBFBF"/>
          </w:tcPr>
          <w:p w:rsidR="007125E0" w:rsidRDefault="00712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3291" w:type="dxa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COMPETENCIA: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</w:rPr>
              <w:t>Resuelve problemas de gestión de datos e incertidumbre.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PROPÓSITO: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Comprender la definición del espacio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muestral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y un evento, y utilizarlas pertinentemente para resolver diversas situaciones cotidianas.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CAMPOS TEMÁTICOS: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- Experimentos aleatorios.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- Espacio </w:t>
            </w:r>
            <w:proofErr w:type="spellStart"/>
            <w:r>
              <w:rPr>
                <w:rFonts w:ascii="Arial Narrow" w:eastAsia="Arial Narrow" w:hAnsi="Arial Narrow" w:cs="Arial Narrow"/>
              </w:rPr>
              <w:t>muestral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y eventos.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EVIDENCIA DE APRENDIZAJE: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El estudiante resuelve de manera autónoma diversas situaciones cotidianas, determinan el espacio </w:t>
            </w:r>
            <w:proofErr w:type="spellStart"/>
            <w:r>
              <w:rPr>
                <w:rFonts w:ascii="Arial Narrow" w:eastAsia="Arial Narrow" w:hAnsi="Arial Narrow" w:cs="Arial Narrow"/>
              </w:rPr>
              <w:t>muestral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de un experimento aleatorio.</w:t>
            </w:r>
          </w:p>
          <w:p w:rsidR="007125E0" w:rsidRDefault="00EF3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CRITERIO DE EVALUACIÓN: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- Identifica y enumera correctamente el espacio </w:t>
            </w:r>
            <w:proofErr w:type="spellStart"/>
            <w:r>
              <w:rPr>
                <w:rFonts w:ascii="Arial Narrow" w:eastAsia="Arial Narrow" w:hAnsi="Arial Narrow" w:cs="Arial Narrow"/>
              </w:rPr>
              <w:t>muestral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de un experimento aleatorio simple.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- Determina el número de casos </w:t>
            </w:r>
            <w:r>
              <w:rPr>
                <w:rFonts w:ascii="Arial Narrow" w:eastAsia="Arial Narrow" w:hAnsi="Arial Narrow" w:cs="Arial Narrow"/>
              </w:rPr>
              <w:lastRenderedPageBreak/>
              <w:t>favorables para dicho evento en un experimento aleatorio simple.</w:t>
            </w:r>
          </w:p>
          <w:p w:rsidR="007125E0" w:rsidRDefault="007125E0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3260" w:type="dxa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lastRenderedPageBreak/>
              <w:t xml:space="preserve">COMPETENCIA: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</w:rPr>
              <w:t>Resuelve problemas de gestión de datos e incertidumbre.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PROPÓSITO: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Comprender la definición de </w:t>
            </w:r>
            <w:r>
              <w:rPr>
                <w:rFonts w:ascii="Arial Narrow" w:eastAsia="Arial Narrow" w:hAnsi="Arial Narrow" w:cs="Arial Narrow"/>
              </w:rPr>
              <w:t xml:space="preserve">probabilidad aplicando la regla de Laplace </w:t>
            </w:r>
            <w:r>
              <w:rPr>
                <w:rFonts w:ascii="Arial Narrow" w:eastAsia="Arial Narrow" w:hAnsi="Arial Narrow" w:cs="Arial Narrow"/>
                <w:color w:val="000000"/>
              </w:rPr>
              <w:t>y utilizarlas pertinentemente para resolver diversas situaciones cotidianas.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CAMPOS TEMÁTICOS: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Definición de probabilidades.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Probabilidad de eventos individuales.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EVIDENCIA DE APRENDIZAJE: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El estudiante resuelve de manera autónoma diversas situaciones cotidianas, utilizando probabilidades de eventos individuales.</w:t>
            </w:r>
          </w:p>
          <w:p w:rsidR="007125E0" w:rsidRDefault="00EF3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CRITERIO DE EVALUACIÓN: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- </w:t>
            </w:r>
            <w:r>
              <w:rPr>
                <w:rFonts w:ascii="Arial Narrow" w:eastAsia="Arial Narrow" w:hAnsi="Arial Narrow" w:cs="Arial Narrow"/>
                <w:color w:val="0D0D0D"/>
              </w:rPr>
              <w:t xml:space="preserve">Representa la probabilidad de un evento a través de su </w:t>
            </w:r>
            <w:r>
              <w:rPr>
                <w:rFonts w:ascii="Arial Narrow" w:eastAsia="Arial Narrow" w:hAnsi="Arial Narrow" w:cs="Arial Narrow"/>
              </w:rPr>
              <w:t xml:space="preserve">forma decimal </w:t>
            </w:r>
            <w:r>
              <w:rPr>
                <w:rFonts w:ascii="Arial Narrow" w:eastAsia="Arial Narrow" w:hAnsi="Arial Narrow" w:cs="Arial Narrow"/>
              </w:rPr>
              <w:lastRenderedPageBreak/>
              <w:t>o fraccionaria, aplicando la regla de Laplace.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color w:val="0D0D0D"/>
              </w:rPr>
              <w:t xml:space="preserve">- Utiliza la regla de Laplace en eventos individuales </w:t>
            </w:r>
            <w:r>
              <w:rPr>
                <w:rFonts w:ascii="Arial Narrow" w:eastAsia="Arial Narrow" w:hAnsi="Arial Narrow" w:cs="Arial Narrow"/>
                <w:color w:val="000000"/>
              </w:rPr>
              <w:t>para resolver diversas situaciones cotidianas.</w:t>
            </w:r>
          </w:p>
        </w:tc>
        <w:tc>
          <w:tcPr>
            <w:tcW w:w="3118" w:type="dxa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lastRenderedPageBreak/>
              <w:t>COMPETENCIA: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</w:rPr>
              <w:t>Resuelve problemas de gestión de datos e incertidumbre.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PROPÓSITO: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Utiliza la definición de probabilidades para resolver diversas situaciones cotidianas.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CAMPOS TEMÁTICOS: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Probabilidades.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Probabilidad de eventos dependientes e independientes.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EVIDENCIA DE APRENDIZAJE: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El estudiante resuelve de manera autónoma diversas situaciones cotidianas, utilizando probabilidades de eventos dependientes e independientes.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CRITERIO DE EVALUACIÓN: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D0D0D"/>
              </w:rPr>
              <w:t xml:space="preserve">- Utiliza la regla de Laplace en eventos individuales </w:t>
            </w:r>
            <w:r>
              <w:rPr>
                <w:rFonts w:ascii="Arial Narrow" w:eastAsia="Arial Narrow" w:hAnsi="Arial Narrow" w:cs="Arial Narrow"/>
                <w:color w:val="000000"/>
              </w:rPr>
              <w:t>para resolver diversas situaciones cotidianas.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D0D0D"/>
              </w:rPr>
              <w:lastRenderedPageBreak/>
              <w:t xml:space="preserve">- Utiliza la </w:t>
            </w:r>
            <w:r>
              <w:rPr>
                <w:rFonts w:ascii="Arial Narrow" w:eastAsia="Arial Narrow" w:hAnsi="Arial Narrow" w:cs="Arial Narrow"/>
              </w:rPr>
              <w:t>probabilidad de eventos dependientes e independientes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proofErr w:type="gramStart"/>
            <w:r>
              <w:rPr>
                <w:rFonts w:ascii="Arial Narrow" w:eastAsia="Arial Narrow" w:hAnsi="Arial Narrow" w:cs="Arial Narrow"/>
                <w:color w:val="000000"/>
              </w:rPr>
              <w:t>para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</w:rPr>
              <w:t xml:space="preserve"> resolver diversas situaciones cotidianas.</w:t>
            </w:r>
          </w:p>
        </w:tc>
      </w:tr>
      <w:tr w:rsidR="007125E0">
        <w:trPr>
          <w:trHeight w:val="442"/>
        </w:trPr>
        <w:tc>
          <w:tcPr>
            <w:tcW w:w="537" w:type="dxa"/>
            <w:vMerge w:val="restart"/>
            <w:shd w:val="clear" w:color="auto" w:fill="BFBFBF"/>
          </w:tcPr>
          <w:p w:rsidR="007125E0" w:rsidRDefault="007125E0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7125E0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7125E0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7125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E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M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N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</w:t>
            </w:r>
          </w:p>
          <w:p w:rsidR="007125E0" w:rsidRDefault="007125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3</w:t>
            </w:r>
          </w:p>
        </w:tc>
        <w:tc>
          <w:tcPr>
            <w:tcW w:w="3291" w:type="dxa"/>
            <w:shd w:val="clear" w:color="auto" w:fill="BFBFBF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SESIÓN N°07: “Resolvemos diversas situaciones cotidianas utilizando la distancia entre dos puntos en un plano cartesiano”</w:t>
            </w:r>
          </w:p>
        </w:tc>
        <w:tc>
          <w:tcPr>
            <w:tcW w:w="3260" w:type="dxa"/>
            <w:shd w:val="clear" w:color="auto" w:fill="BFBFBF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SESIÓN N°08: “Resolvemos diversas situaciones cotidianas utilizando traslaciones geométricas”</w:t>
            </w:r>
          </w:p>
        </w:tc>
        <w:tc>
          <w:tcPr>
            <w:tcW w:w="3118" w:type="dxa"/>
            <w:shd w:val="clear" w:color="auto" w:fill="9CC3E5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SESIÓN DE REFUERZO N°09: “Utilizamos traslaciones para resolver diversas situaciones cotidianas”</w:t>
            </w:r>
          </w:p>
        </w:tc>
      </w:tr>
      <w:tr w:rsidR="007125E0">
        <w:trPr>
          <w:trHeight w:val="442"/>
        </w:trPr>
        <w:tc>
          <w:tcPr>
            <w:tcW w:w="537" w:type="dxa"/>
            <w:vMerge/>
            <w:shd w:val="clear" w:color="auto" w:fill="BFBFBF"/>
          </w:tcPr>
          <w:p w:rsidR="007125E0" w:rsidRDefault="00712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3291" w:type="dxa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COMPETENCIA: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</w:rPr>
              <w:t>Resuelve problemas de forma, movimiento y localización.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PROPÓSITO: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Representar puntos en el plano cartesiano y determinar la distancia entre ellos utilizando sus coordenadas.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CAMPO TEMÁTICO: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Plano Cartesiano.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Distancia entre dos puntos en el plano.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EVIDENCIA DE APRENDIZAJE: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El estudiante resuelve de manera autónoma diversas situaciones cotidianas, utilizando la distancia entre dos puntos en el plano cartesiano.</w:t>
            </w:r>
          </w:p>
          <w:p w:rsidR="007125E0" w:rsidRDefault="00EF3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CRITERIO DE EVALUACIÓN: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- Ubica los pares ordenados de puntos en plano cartesiano.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</w:rPr>
              <w:t>- Determina la distancia entre dos puntos ubicados en plano cartesiano.</w:t>
            </w:r>
          </w:p>
        </w:tc>
        <w:tc>
          <w:tcPr>
            <w:tcW w:w="3260" w:type="dxa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COMPETENCIA: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</w:rPr>
              <w:t>Resuelve problemas de forma, movimiento y localización.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PROPÓSITO: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Representar traslaciones de figuras geométricas en plano cartesiano según el vector de orientación.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CAMPO TEMÁTICO: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Transformaciones geométricas.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Traslaciones y vector de orientación.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EVIDENCIA DE APRENDIZAJE: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El estudiante resuelve de manera autónoma diversas situaciones sobre transformaciones geométricas, utilizando traslaciones de figuras geométricas en el plano cartesiano según el vector de orientación.</w:t>
            </w:r>
          </w:p>
          <w:p w:rsidR="007125E0" w:rsidRDefault="00EF3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CRITERIO DE EVALUACIÓN: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Describe una figura poligonal y el resultado de su imagen a partir de la aplicación de una traslación.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Utiliza estrategias para trasladar una figura geométrica en el plano cartesiano según el vector de orientación.</w:t>
            </w:r>
          </w:p>
        </w:tc>
        <w:tc>
          <w:tcPr>
            <w:tcW w:w="3118" w:type="dxa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COMPETENCIA: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</w:rPr>
              <w:t>Resuelve problemas de forma, movimiento y localización.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PROPÓSITO: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Representar traslaciones de figuras geométricas en plano cartesiano según el vector de orientación.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CAMPO TEMÁTICO: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Traslaciones y vector de orientación.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EVIDENCIA DE APRENDIZAJE: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El estudiante resuelve de manera autónoma diversas situaciones, utilizando traslaciones de figuras geométricas en el plano cartesiano según el vector de orientación.</w:t>
            </w:r>
          </w:p>
          <w:p w:rsidR="007125E0" w:rsidRDefault="00EF3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CRITERIO DE EVALUACIÓN: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Utiliza estrategias para trasladar una figura geométrica en el plano cartesiano según el vector de orientación.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</w:rPr>
              <w:t>- Explica la traslación de figuras geométricas en el plano cartesiano e identifica las coordenadas.</w:t>
            </w:r>
          </w:p>
        </w:tc>
      </w:tr>
      <w:tr w:rsidR="007125E0">
        <w:trPr>
          <w:trHeight w:val="442"/>
        </w:trPr>
        <w:tc>
          <w:tcPr>
            <w:tcW w:w="537" w:type="dxa"/>
            <w:vMerge w:val="restart"/>
            <w:shd w:val="clear" w:color="auto" w:fill="BFBFBF"/>
          </w:tcPr>
          <w:p w:rsidR="007125E0" w:rsidRDefault="007125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7125E0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7125E0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7125E0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lastRenderedPageBreak/>
              <w:t>S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E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M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N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</w:t>
            </w:r>
          </w:p>
          <w:p w:rsidR="007125E0" w:rsidRDefault="007125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4</w:t>
            </w:r>
          </w:p>
        </w:tc>
        <w:tc>
          <w:tcPr>
            <w:tcW w:w="3291" w:type="dxa"/>
            <w:shd w:val="clear" w:color="auto" w:fill="BFBFBF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lastRenderedPageBreak/>
              <w:t>SESIÓN N°10: “Resolvemos diversas situaciones cotidianas utilizando rotaciones”</w:t>
            </w:r>
          </w:p>
        </w:tc>
        <w:tc>
          <w:tcPr>
            <w:tcW w:w="3260" w:type="dxa"/>
            <w:shd w:val="clear" w:color="auto" w:fill="BFBFBF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SESIÓN N°11: “Resolvemos diversas situaciones cotidianas utilizando simetrías”</w:t>
            </w:r>
          </w:p>
        </w:tc>
        <w:tc>
          <w:tcPr>
            <w:tcW w:w="3118" w:type="dxa"/>
            <w:shd w:val="clear" w:color="auto" w:fill="9CC3E5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SESIÓN DE REFUERZO N°12: “Utilizamos rotaciones y simetrías para resolver diversas situaciones cotidianas”</w:t>
            </w:r>
          </w:p>
        </w:tc>
      </w:tr>
      <w:tr w:rsidR="007125E0">
        <w:trPr>
          <w:trHeight w:val="5830"/>
        </w:trPr>
        <w:tc>
          <w:tcPr>
            <w:tcW w:w="537" w:type="dxa"/>
            <w:vMerge/>
            <w:shd w:val="clear" w:color="auto" w:fill="BFBFBF"/>
          </w:tcPr>
          <w:p w:rsidR="007125E0" w:rsidRDefault="00712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3291" w:type="dxa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COMPETENCIA: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</w:rPr>
              <w:t>Resuelve problemas de forma, movimiento y localización.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PROPÓSITO: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Representar rotaciones de figuras geométricas en plano cartesiano según el ángulo de giro.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CAMPO TEMÁTICO: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Transformaciones geométricas.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Rotaciones y ángulo de giro.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EVIDENCIA DE APRENDIZAJE: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El estudiante resuelve de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</w:rPr>
            </w:pPr>
            <w:proofErr w:type="gramStart"/>
            <w:r>
              <w:rPr>
                <w:rFonts w:ascii="Arial Narrow" w:eastAsia="Arial Narrow" w:hAnsi="Arial Narrow" w:cs="Arial Narrow"/>
              </w:rPr>
              <w:t>manera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autónoma diversas situaciones sobre transformaciones geométricas, utilizando rotaciones de figuras geométricas en el plano cartesiano según el ángulo de giro.</w:t>
            </w:r>
          </w:p>
          <w:p w:rsidR="007125E0" w:rsidRDefault="00EF3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CRITERIO DE EVALUACIÓN: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Utiliza estrategias para rotar una figura geométrica en el plano cartesiano según el ángulo de giro.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</w:rPr>
              <w:t>- Explica la rotación de figuras geométricas en el plano cartesiano e identifica las coordenadas de la nueva figura.</w:t>
            </w:r>
          </w:p>
        </w:tc>
        <w:tc>
          <w:tcPr>
            <w:tcW w:w="3260" w:type="dxa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COMPETENCIA: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</w:rPr>
              <w:t>Resuelve problemas de forma, movimiento y localización.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PROPÓSITO: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Representar simétricos de figuras geométricas en plano cartesiano respecto a una recta o un punto.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CAMPO TEMÁTICO: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Transformaciones geométricas.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Simetría axial y central.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EVIDENCIA DE APRENDIZAJE: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El estudiante resuelve de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proofErr w:type="gramStart"/>
            <w:r>
              <w:rPr>
                <w:rFonts w:ascii="Arial Narrow" w:eastAsia="Arial Narrow" w:hAnsi="Arial Narrow" w:cs="Arial Narrow"/>
              </w:rPr>
              <w:t>manera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autónoma diversas situaciones sobre transformaciones geométricas, utilizando simétricos de figuras geométricas en el plano cartesiano respecto a una recta.</w:t>
            </w:r>
          </w:p>
          <w:p w:rsidR="007125E0" w:rsidRDefault="00EF3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CRITERIO DE EVALUACIÓN: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Describe una figura poligonal y el resultado de su imagen a partir de la aplicación de una reflexión.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</w:rPr>
              <w:t>- Utiliza estrategias para determinar el simétrico de una figura geométrica en el plano cartesiano respecto a una recta o un punto.</w:t>
            </w:r>
          </w:p>
        </w:tc>
        <w:tc>
          <w:tcPr>
            <w:tcW w:w="3118" w:type="dxa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COMPETENCIA: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</w:rPr>
              <w:t>Resuelve problemas de forma, movimiento y localización.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PROPÓSITO: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Representar rotaciones y reflexiones de figuras geométricas en plano cartesiano según el ángulo de giro o según una recta.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CAMPO TEMÁTICO: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Rotaciones y ángulo de giro.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Simetría axial y central.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EVIDENCIA DE APRENDIZAJE: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El estudiante resuelve de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</w:rPr>
            </w:pPr>
            <w:proofErr w:type="gramStart"/>
            <w:r>
              <w:rPr>
                <w:rFonts w:ascii="Arial Narrow" w:eastAsia="Arial Narrow" w:hAnsi="Arial Narrow" w:cs="Arial Narrow"/>
              </w:rPr>
              <w:t>manera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autónoma diversas situaciones sobre transformaciones geométricas, utilizando rotaciones y reflexiones de figuras geométricas en el plano cartesiano.</w:t>
            </w:r>
          </w:p>
          <w:p w:rsidR="007125E0" w:rsidRDefault="00EF3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CRITERIO DE EVALUACIÓN: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Utiliza estrategias para rotar una figura geométrica en el plano cartesiano según el ángulo de giro.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</w:rPr>
              <w:t>- Utiliza estrategias para determinar el simétrico de una figura geométrica en el plano cartesiano respecto a una recta o un punto.</w:t>
            </w:r>
          </w:p>
        </w:tc>
      </w:tr>
      <w:tr w:rsidR="007125E0">
        <w:trPr>
          <w:trHeight w:val="547"/>
        </w:trPr>
        <w:tc>
          <w:tcPr>
            <w:tcW w:w="537" w:type="dxa"/>
            <w:vMerge w:val="restart"/>
            <w:shd w:val="clear" w:color="auto" w:fill="BFBFBF"/>
          </w:tcPr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lastRenderedPageBreak/>
              <w:t>S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E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M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N</w:t>
            </w:r>
          </w:p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</w:t>
            </w:r>
          </w:p>
          <w:p w:rsidR="007125E0" w:rsidRDefault="007125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125E0" w:rsidRDefault="00EF3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5</w:t>
            </w:r>
          </w:p>
        </w:tc>
        <w:tc>
          <w:tcPr>
            <w:tcW w:w="3291" w:type="dxa"/>
            <w:shd w:val="clear" w:color="auto" w:fill="BFBFBF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SESIÓN N°13: “Resolvemos diversas situaciones cotidianas utilizando reducciones y ampliaciones”</w:t>
            </w:r>
          </w:p>
        </w:tc>
        <w:tc>
          <w:tcPr>
            <w:tcW w:w="3260" w:type="dxa"/>
            <w:shd w:val="clear" w:color="auto" w:fill="BFBFBF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SESIÓN N°14: “Resolvemos diversas situaciones cotidianas utilizando mapas a escala”</w:t>
            </w:r>
          </w:p>
        </w:tc>
        <w:tc>
          <w:tcPr>
            <w:tcW w:w="3118" w:type="dxa"/>
            <w:shd w:val="clear" w:color="auto" w:fill="BFBFBF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SESIÓN N°15: “Evaluamos nuestros aprendizajes de la unidad”</w:t>
            </w:r>
          </w:p>
        </w:tc>
      </w:tr>
      <w:tr w:rsidR="007125E0">
        <w:trPr>
          <w:trHeight w:val="547"/>
        </w:trPr>
        <w:tc>
          <w:tcPr>
            <w:tcW w:w="537" w:type="dxa"/>
            <w:vMerge/>
            <w:shd w:val="clear" w:color="auto" w:fill="BFBFBF"/>
          </w:tcPr>
          <w:p w:rsidR="007125E0" w:rsidRDefault="00712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3291" w:type="dxa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COMPETENCIA: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</w:rPr>
              <w:t>Resuelve problemas de forma, movimiento y localización.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PROPÓSITO: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Representar reducciones y ampliaciones de figuras geométricas en plano cartesiano respecto a un punto.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CAMPO TEMÁTICO: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Transformaciones geométricas.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Reducciones y ampliaciones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EVIDENCIA DE APRENDIZAJE: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El estudiante resuelve de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proofErr w:type="gramStart"/>
            <w:r>
              <w:rPr>
                <w:rFonts w:ascii="Arial Narrow" w:eastAsia="Arial Narrow" w:hAnsi="Arial Narrow" w:cs="Arial Narrow"/>
              </w:rPr>
              <w:t>manera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autónoma diversas situaciones sobre transformaciones geométricas, reducciones y ampliaciones de figuras geométricas en plano cartesiano.</w:t>
            </w:r>
          </w:p>
          <w:p w:rsidR="007125E0" w:rsidRDefault="00EF3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CRITERIO DE EVALUACIÓN: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</w:rPr>
              <w:t>- Utiliza estrategias para determinar reducción o ampliación de una figura geométrica en el plano cartesiano respecto a un punto.</w:t>
            </w:r>
          </w:p>
        </w:tc>
        <w:tc>
          <w:tcPr>
            <w:tcW w:w="3260" w:type="dxa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COMPETENCIA: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</w:rPr>
              <w:t>Resuelve problemas de forma, movimiento y localización.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PROPÓSITO: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Leer mapas o planos a escala y </w:t>
            </w:r>
            <w:proofErr w:type="gramStart"/>
            <w:r>
              <w:rPr>
                <w:rFonts w:ascii="Arial Narrow" w:eastAsia="Arial Narrow" w:hAnsi="Arial Narrow" w:cs="Arial Narrow"/>
              </w:rPr>
              <w:t>los usa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para ubicarse en el espacio y resolver diversas situaciones cotidianas.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CAMPO TEMÁTICO: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Mapas y Planos.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Escala numérica y gráfica.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EVIDENCIA DE APRENDIZAJE: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El estudiante resuelve de manera autónoma diversas situaciones cotidianas sobre mapas y planos a escala. </w:t>
            </w:r>
          </w:p>
          <w:p w:rsidR="007125E0" w:rsidRDefault="00EF3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CRITERIO DE EVALUACIÓN: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Interpreta la escala numérica o gráfica de un mapa.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</w:rPr>
              <w:t>- Utiliza las escalas de un mapa para conocer la equivalencia de distancias de un mapa con respecto a la realidad.</w:t>
            </w:r>
          </w:p>
        </w:tc>
        <w:tc>
          <w:tcPr>
            <w:tcW w:w="3118" w:type="dxa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COMPETENCIA: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Resuelve problemas de forma, movimiento y localización, y de gestión de datos.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PROPÓSITO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: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Identificar el nivel de logro de los estudiantes en los aprendizajes desarrollados durante la unidad.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CAMPOS </w:t>
            </w:r>
            <w:r>
              <w:rPr>
                <w:rFonts w:ascii="Arial Narrow" w:eastAsia="Arial Narrow" w:hAnsi="Arial Narrow" w:cs="Arial Narrow"/>
                <w:b/>
                <w:bCs/>
              </w:rPr>
              <w:t>TEMÁTICOS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: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Medidas de tendencia central y probabilidades.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Transformaciones geométricas.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EVIDENCIA DE APRENDIZAJE: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El estudiante resuelve de manera autónoma diversas situaciones sobre medidas de tendencia central, probabilidades, transformaciones geométricas y mapas a escala.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CRITERIO DE EVALUACIÓN: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Utiliza medidas de tendencia central y probabilidades para resolver situaciones cotidianas.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- Utiliza transformaciones geométricas para resolver </w:t>
            </w:r>
            <w:r>
              <w:rPr>
                <w:rFonts w:ascii="Arial Narrow" w:eastAsia="Arial Narrow" w:hAnsi="Arial Narrow" w:cs="Arial Narrow"/>
                <w:color w:val="000000"/>
              </w:rPr>
              <w:lastRenderedPageBreak/>
              <w:t>situaciones cotidianas.</w:t>
            </w:r>
          </w:p>
        </w:tc>
      </w:tr>
    </w:tbl>
    <w:p w:rsidR="007125E0" w:rsidRDefault="007125E0">
      <w:pP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</w:p>
    <w:p w:rsidR="007125E0" w:rsidRDefault="00EF3095">
      <w:pPr>
        <w:spacing w:after="0" w:line="240" w:lineRule="auto"/>
        <w:rPr>
          <w:rFonts w:ascii="Rockwell" w:eastAsia="Rockwell" w:hAnsi="Rockwell" w:cs="Rockwell"/>
          <w:b/>
          <w:bCs/>
          <w:color w:val="0000CC"/>
          <w:sz w:val="24"/>
          <w:szCs w:val="24"/>
        </w:rPr>
      </w:pPr>
      <w:r>
        <w:rPr>
          <w:rFonts w:ascii="Rockwell" w:eastAsia="Rockwell" w:hAnsi="Rockwell" w:cs="Rockwell"/>
          <w:b/>
          <w:bCs/>
          <w:color w:val="0000CC"/>
          <w:sz w:val="24"/>
          <w:szCs w:val="24"/>
        </w:rPr>
        <w:t>VIII. EVALUACIÓN DE LOS APRENDIZAJES:</w:t>
      </w:r>
    </w:p>
    <w:p w:rsidR="007125E0" w:rsidRDefault="00EF3095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Para la evaluación de los aprendizajes se aplicará el enfoque formativo. Desde este enfoque, la evaluación es un proceso sistemático en el que se recoge y valora información relevante acerca del nivel de desarrollo de las competencias en cada estudiante, con el fin de contribuir oportunamente a mejorar su aprendizaje. </w:t>
      </w:r>
    </w:p>
    <w:tbl>
      <w:tblPr>
        <w:tblStyle w:val="af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2268"/>
        <w:gridCol w:w="4819"/>
        <w:gridCol w:w="1559"/>
      </w:tblGrid>
      <w:tr w:rsidR="007125E0">
        <w:tc>
          <w:tcPr>
            <w:tcW w:w="1555" w:type="dxa"/>
            <w:shd w:val="clear" w:color="auto" w:fill="BFBFBF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COMPETENCIA</w:t>
            </w:r>
          </w:p>
        </w:tc>
        <w:tc>
          <w:tcPr>
            <w:tcW w:w="2268" w:type="dxa"/>
            <w:shd w:val="clear" w:color="auto" w:fill="BFBFBF"/>
          </w:tcPr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CAPACIDADES</w:t>
            </w:r>
          </w:p>
        </w:tc>
        <w:tc>
          <w:tcPr>
            <w:tcW w:w="4819" w:type="dxa"/>
            <w:shd w:val="clear" w:color="auto" w:fill="BFBFBF"/>
          </w:tcPr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CRITERIOS DE </w:t>
            </w:r>
            <w:r>
              <w:rPr>
                <w:rFonts w:ascii="Arial Narrow" w:eastAsia="Arial Narrow" w:hAnsi="Arial Narrow" w:cs="Arial Narrow"/>
                <w:b/>
                <w:bCs/>
              </w:rPr>
              <w:t>EVALUACIÓN</w:t>
            </w:r>
          </w:p>
        </w:tc>
        <w:tc>
          <w:tcPr>
            <w:tcW w:w="1559" w:type="dxa"/>
            <w:shd w:val="clear" w:color="auto" w:fill="BFBFBF"/>
          </w:tcPr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INSTRUMENTO</w:t>
            </w:r>
          </w:p>
        </w:tc>
      </w:tr>
      <w:tr w:rsidR="007125E0">
        <w:trPr>
          <w:trHeight w:val="462"/>
        </w:trPr>
        <w:tc>
          <w:tcPr>
            <w:tcW w:w="1555" w:type="dxa"/>
            <w:vMerge w:val="restart"/>
            <w:shd w:val="clear" w:color="auto" w:fill="FFFFFF"/>
            <w:vAlign w:val="center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Resuelve problemas de gestión de datos e incertidumbre</w:t>
            </w:r>
          </w:p>
        </w:tc>
        <w:tc>
          <w:tcPr>
            <w:tcW w:w="2268" w:type="dxa"/>
            <w:shd w:val="clear" w:color="auto" w:fill="FFFFFF"/>
          </w:tcPr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</w:rPr>
              <w:t>Representa datos con gráficos y medidas estadísticas o probabilísticas.</w:t>
            </w:r>
          </w:p>
        </w:tc>
        <w:tc>
          <w:tcPr>
            <w:tcW w:w="4819" w:type="dxa"/>
            <w:shd w:val="clear" w:color="auto" w:fill="FFFFFF"/>
          </w:tcPr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Compara las tres medidas de tendencia central (media, mediana y moda) y determina cuál es la medida más representativa o apropiada.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- Identifica y enumera correctamente el espacio </w:t>
            </w:r>
            <w:proofErr w:type="spellStart"/>
            <w:r>
              <w:rPr>
                <w:rFonts w:ascii="Arial Narrow" w:eastAsia="Arial Narrow" w:hAnsi="Arial Narrow" w:cs="Arial Narrow"/>
              </w:rPr>
              <w:t>muestral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de un experimento aleatorio simple y determina el número de casos favorables para dicho evento.</w:t>
            </w:r>
          </w:p>
        </w:tc>
        <w:tc>
          <w:tcPr>
            <w:tcW w:w="1559" w:type="dxa"/>
            <w:vMerge w:val="restart"/>
            <w:shd w:val="clear" w:color="auto" w:fill="FFFFFF"/>
            <w:vAlign w:val="center"/>
          </w:tcPr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Cuestionario.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Lista de cotejo.</w:t>
            </w:r>
          </w:p>
        </w:tc>
      </w:tr>
      <w:tr w:rsidR="007125E0">
        <w:trPr>
          <w:trHeight w:val="526"/>
        </w:trPr>
        <w:tc>
          <w:tcPr>
            <w:tcW w:w="1555" w:type="dxa"/>
            <w:vMerge/>
            <w:shd w:val="clear" w:color="auto" w:fill="FFFFFF"/>
            <w:vAlign w:val="center"/>
          </w:tcPr>
          <w:p w:rsidR="007125E0" w:rsidRDefault="00712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268" w:type="dxa"/>
            <w:shd w:val="clear" w:color="auto" w:fill="FFFFFF"/>
          </w:tcPr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Comunica su comprensión de los conceptos estadísticos y probabilísticos.</w:t>
            </w:r>
          </w:p>
        </w:tc>
        <w:tc>
          <w:tcPr>
            <w:tcW w:w="4819" w:type="dxa"/>
            <w:shd w:val="clear" w:color="auto" w:fill="FFFFFF"/>
          </w:tcPr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Identifica y estima las medidas de tendencia central a partir de la observación de un gráfico de barras o circular.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Determina la probabilidad teórica de un evento simple utilizando la Regla de Laplace y expresa el resultado en formato de fracción simplificada, decimal y porcentaje.</w:t>
            </w:r>
          </w:p>
        </w:tc>
        <w:tc>
          <w:tcPr>
            <w:tcW w:w="1559" w:type="dxa"/>
            <w:vMerge/>
            <w:shd w:val="clear" w:color="auto" w:fill="FFFFFF"/>
            <w:vAlign w:val="center"/>
          </w:tcPr>
          <w:p w:rsidR="007125E0" w:rsidRDefault="00712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</w:tr>
      <w:tr w:rsidR="007125E0">
        <w:trPr>
          <w:trHeight w:val="548"/>
        </w:trPr>
        <w:tc>
          <w:tcPr>
            <w:tcW w:w="1555" w:type="dxa"/>
            <w:vMerge/>
            <w:shd w:val="clear" w:color="auto" w:fill="FFFFFF"/>
            <w:vAlign w:val="center"/>
          </w:tcPr>
          <w:p w:rsidR="007125E0" w:rsidRDefault="00712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268" w:type="dxa"/>
            <w:shd w:val="clear" w:color="auto" w:fill="FFFFFF"/>
          </w:tcPr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Usa estrategias y procedimientos para recopilar y procesar datos.</w:t>
            </w:r>
          </w:p>
        </w:tc>
        <w:tc>
          <w:tcPr>
            <w:tcW w:w="4819" w:type="dxa"/>
            <w:shd w:val="clear" w:color="auto" w:fill="FFFFFF"/>
          </w:tcPr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Determina la media aritmética, la mediana y la moda para un conjunto de datos no agrupados (tanto un número impar como par de datos).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- Determina la probabilidad de que un evento simple no ocurra (evento complemento) utilizando la relación: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P(A</w:t>
            </w:r>
            <w:r>
              <w:rPr>
                <w:rFonts w:ascii="Arial Narrow" w:eastAsia="Arial Narrow" w:hAnsi="Arial Narrow" w:cs="Arial Narrow"/>
                <w:vertAlign w:val="superscript"/>
              </w:rPr>
              <w:t>C</w:t>
            </w:r>
            <w:r>
              <w:rPr>
                <w:rFonts w:ascii="Arial Narrow" w:eastAsia="Arial Narrow" w:hAnsi="Arial Narrow" w:cs="Arial Narrow"/>
              </w:rPr>
              <w:t>) = 1 – P(A)</w:t>
            </w:r>
          </w:p>
        </w:tc>
        <w:tc>
          <w:tcPr>
            <w:tcW w:w="1559" w:type="dxa"/>
            <w:vMerge/>
            <w:shd w:val="clear" w:color="auto" w:fill="FFFFFF"/>
            <w:vAlign w:val="center"/>
          </w:tcPr>
          <w:p w:rsidR="007125E0" w:rsidRDefault="00712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</w:tr>
      <w:tr w:rsidR="007125E0">
        <w:trPr>
          <w:trHeight w:val="538"/>
        </w:trPr>
        <w:tc>
          <w:tcPr>
            <w:tcW w:w="1555" w:type="dxa"/>
            <w:vMerge/>
            <w:shd w:val="clear" w:color="auto" w:fill="FFFFFF"/>
            <w:vAlign w:val="center"/>
          </w:tcPr>
          <w:p w:rsidR="007125E0" w:rsidRDefault="00712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268" w:type="dxa"/>
            <w:shd w:val="clear" w:color="auto" w:fill="FFFFFF"/>
          </w:tcPr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</w:rPr>
              <w:t>Sustenta conclusiones o decisiones con base en la información obtenida</w:t>
            </w:r>
          </w:p>
        </w:tc>
        <w:tc>
          <w:tcPr>
            <w:tcW w:w="4819" w:type="dxa"/>
            <w:shd w:val="clear" w:color="auto" w:fill="FFFFFF"/>
          </w:tcPr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Utiliza las medidas de tendencia central para analizar e interpretar datos de una situación real y formula una conclusión o toma una decisión.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</w:rPr>
              <w:t>- Plantea conclusiones válidas sobre la probabilidad de ocurrencia de sucesos en un contexto dado.</w:t>
            </w:r>
          </w:p>
        </w:tc>
        <w:tc>
          <w:tcPr>
            <w:tcW w:w="1559" w:type="dxa"/>
            <w:vMerge/>
            <w:shd w:val="clear" w:color="auto" w:fill="FFFFFF"/>
            <w:vAlign w:val="center"/>
          </w:tcPr>
          <w:p w:rsidR="007125E0" w:rsidRDefault="00712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</w:tr>
      <w:tr w:rsidR="007125E0">
        <w:trPr>
          <w:trHeight w:val="538"/>
        </w:trPr>
        <w:tc>
          <w:tcPr>
            <w:tcW w:w="1555" w:type="dxa"/>
            <w:vMerge w:val="restart"/>
            <w:shd w:val="clear" w:color="auto" w:fill="FFFFFF"/>
            <w:vAlign w:val="center"/>
          </w:tcPr>
          <w:p w:rsidR="007125E0" w:rsidRDefault="00EF3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Resuelve problemas de forma, movimiento y localización.</w:t>
            </w:r>
          </w:p>
        </w:tc>
        <w:tc>
          <w:tcPr>
            <w:tcW w:w="2268" w:type="dxa"/>
            <w:shd w:val="clear" w:color="auto" w:fill="FFFFFF"/>
          </w:tcPr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Modela objetos con formas geométricas y sus transformaciones.</w:t>
            </w:r>
          </w:p>
          <w:p w:rsidR="007125E0" w:rsidRDefault="007125E0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4819" w:type="dxa"/>
            <w:shd w:val="clear" w:color="auto" w:fill="FFFFFF"/>
          </w:tcPr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Describe un objeto (forma bidimensional) y el resultado de su imagen a partir de la aplicación de una o una secuencia de transformaciones isométricas (traslación, rotación, o reflexión).</w:t>
            </w:r>
          </w:p>
        </w:tc>
        <w:tc>
          <w:tcPr>
            <w:tcW w:w="1559" w:type="dxa"/>
            <w:vMerge w:val="restart"/>
            <w:shd w:val="clear" w:color="auto" w:fill="FFFFFF"/>
            <w:vAlign w:val="center"/>
          </w:tcPr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Cuestionario.</w:t>
            </w:r>
          </w:p>
          <w:p w:rsidR="007125E0" w:rsidRDefault="00EF3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Lista de cotejo.</w:t>
            </w:r>
          </w:p>
        </w:tc>
      </w:tr>
      <w:tr w:rsidR="007125E0">
        <w:trPr>
          <w:trHeight w:val="538"/>
        </w:trPr>
        <w:tc>
          <w:tcPr>
            <w:tcW w:w="1555" w:type="dxa"/>
            <w:vMerge/>
            <w:shd w:val="clear" w:color="auto" w:fill="FFFFFF"/>
            <w:vAlign w:val="center"/>
          </w:tcPr>
          <w:p w:rsidR="007125E0" w:rsidRDefault="00712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2268" w:type="dxa"/>
            <w:shd w:val="clear" w:color="auto" w:fill="FFFFFF"/>
          </w:tcPr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Comunica su comprensión sobre las formas y relaciones geométricas.</w:t>
            </w:r>
          </w:p>
        </w:tc>
        <w:tc>
          <w:tcPr>
            <w:tcW w:w="4819" w:type="dxa"/>
            <w:shd w:val="clear" w:color="auto" w:fill="FFFFFF"/>
          </w:tcPr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El estudiante expresa con claridad la comprensión conceptual de cada transformación, estableciendo las diferencias entre ellas.</w:t>
            </w:r>
          </w:p>
          <w:p w:rsidR="007125E0" w:rsidRDefault="007125E0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</w:tcPr>
          <w:p w:rsidR="007125E0" w:rsidRDefault="00712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7125E0">
        <w:trPr>
          <w:trHeight w:val="538"/>
        </w:trPr>
        <w:tc>
          <w:tcPr>
            <w:tcW w:w="1555" w:type="dxa"/>
            <w:vMerge/>
            <w:shd w:val="clear" w:color="auto" w:fill="FFFFFF"/>
            <w:vAlign w:val="center"/>
          </w:tcPr>
          <w:p w:rsidR="007125E0" w:rsidRDefault="00712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268" w:type="dxa"/>
            <w:shd w:val="clear" w:color="auto" w:fill="FFFFFF"/>
          </w:tcPr>
          <w:p w:rsidR="007125E0" w:rsidRDefault="00EF309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Usa estrategias y procedimientos para medir y orientarse en el espacio.</w:t>
            </w:r>
          </w:p>
        </w:tc>
        <w:tc>
          <w:tcPr>
            <w:tcW w:w="4819" w:type="dxa"/>
            <w:shd w:val="clear" w:color="auto" w:fill="FFFFFF"/>
          </w:tcPr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Emplea y ejecuta estrategias y procedimientos específicos para realizar las transformaciones geométricas de traslación, rotación y reflexión sobre figuras planas, verificando la congruencia entre la figura original y la imagen.</w:t>
            </w:r>
          </w:p>
        </w:tc>
        <w:tc>
          <w:tcPr>
            <w:tcW w:w="1559" w:type="dxa"/>
            <w:vMerge/>
            <w:shd w:val="clear" w:color="auto" w:fill="FFFFFF"/>
            <w:vAlign w:val="center"/>
          </w:tcPr>
          <w:p w:rsidR="007125E0" w:rsidRDefault="00712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7125E0">
        <w:trPr>
          <w:trHeight w:val="538"/>
        </w:trPr>
        <w:tc>
          <w:tcPr>
            <w:tcW w:w="1555" w:type="dxa"/>
            <w:vMerge/>
            <w:shd w:val="clear" w:color="auto" w:fill="FFFFFF"/>
            <w:vAlign w:val="center"/>
          </w:tcPr>
          <w:p w:rsidR="007125E0" w:rsidRDefault="00712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268" w:type="dxa"/>
            <w:shd w:val="clear" w:color="auto" w:fill="FFFFFF"/>
          </w:tcPr>
          <w:p w:rsidR="007125E0" w:rsidRDefault="00EF3095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</w:rPr>
              <w:t>Argumenta afirmaciones sobre relaciones geométricas.</w:t>
            </w:r>
          </w:p>
        </w:tc>
        <w:tc>
          <w:tcPr>
            <w:tcW w:w="4819" w:type="dxa"/>
            <w:shd w:val="clear" w:color="auto" w:fill="FFFFFF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Justifica afirmaciones sobre la invariancia de propiedades (como longitud de lados, medida de ángulos y área) antes y después de aplicar una transformación isométrica.</w:t>
            </w:r>
          </w:p>
        </w:tc>
        <w:tc>
          <w:tcPr>
            <w:tcW w:w="1559" w:type="dxa"/>
            <w:vMerge/>
            <w:shd w:val="clear" w:color="auto" w:fill="FFFFFF"/>
            <w:vAlign w:val="center"/>
          </w:tcPr>
          <w:p w:rsidR="007125E0" w:rsidRDefault="00712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:rsidR="007125E0" w:rsidRDefault="007125E0">
      <w:pP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</w:p>
    <w:p w:rsidR="007125E0" w:rsidRDefault="007125E0">
      <w:pP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</w:p>
    <w:p w:rsidR="007125E0" w:rsidRDefault="007125E0">
      <w:pP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</w:p>
    <w:p w:rsidR="007125E0" w:rsidRDefault="007125E0">
      <w:pP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</w:p>
    <w:p w:rsidR="007125E0" w:rsidRDefault="007125E0">
      <w:pP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</w:p>
    <w:p w:rsidR="007125E0" w:rsidRDefault="007125E0">
      <w:pP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</w:p>
    <w:p w:rsidR="007125E0" w:rsidRDefault="007125E0">
      <w:pP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</w:p>
    <w:p w:rsidR="007125E0" w:rsidRDefault="00EF3095">
      <w:pPr>
        <w:spacing w:after="0" w:line="240" w:lineRule="auto"/>
        <w:rPr>
          <w:rFonts w:ascii="Rockwell" w:eastAsia="Rockwell" w:hAnsi="Rockwell" w:cs="Rockwell"/>
          <w:b/>
          <w:bCs/>
          <w:color w:val="0000CC"/>
          <w:sz w:val="24"/>
          <w:szCs w:val="24"/>
        </w:rPr>
      </w:pPr>
      <w:r>
        <w:rPr>
          <w:rFonts w:ascii="Rockwell" w:eastAsia="Rockwell" w:hAnsi="Rockwell" w:cs="Rockwell"/>
          <w:b/>
          <w:bCs/>
          <w:color w:val="0000CC"/>
          <w:sz w:val="24"/>
          <w:szCs w:val="24"/>
        </w:rPr>
        <w:lastRenderedPageBreak/>
        <w:t>IX. RECURSOS Y MATERIALES:</w:t>
      </w:r>
    </w:p>
    <w:tbl>
      <w:tblPr>
        <w:tblStyle w:val="af0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43"/>
        <w:gridCol w:w="5458"/>
      </w:tblGrid>
      <w:tr w:rsidR="007125E0">
        <w:tc>
          <w:tcPr>
            <w:tcW w:w="4743" w:type="dxa"/>
            <w:shd w:val="clear" w:color="auto" w:fill="BFBFBF"/>
          </w:tcPr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PARA EL DOCENTE</w:t>
            </w:r>
          </w:p>
        </w:tc>
        <w:tc>
          <w:tcPr>
            <w:tcW w:w="5458" w:type="dxa"/>
            <w:shd w:val="clear" w:color="auto" w:fill="BFBFBF"/>
          </w:tcPr>
          <w:p w:rsidR="007125E0" w:rsidRDefault="00EF3095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PARA EL ESTUDIANTE</w:t>
            </w:r>
          </w:p>
        </w:tc>
      </w:tr>
      <w:tr w:rsidR="007125E0">
        <w:tc>
          <w:tcPr>
            <w:tcW w:w="4743" w:type="dxa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- Proyector Multimedia y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Ecran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.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Plataformas digitales.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Redes sociales (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WhatsApp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>)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Textos del MED. (Fichas de Matemática 1° - 2025)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Fichas de trabajo.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Textos Escolares de Matemática.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- Materiales didácticos concretos. </w:t>
            </w:r>
          </w:p>
          <w:p w:rsidR="007125E0" w:rsidRDefault="00EF3095">
            <w:pP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Juegos Matemáticos concretos.</w:t>
            </w:r>
          </w:p>
        </w:tc>
        <w:tc>
          <w:tcPr>
            <w:tcW w:w="5458" w:type="dxa"/>
          </w:tcPr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Internet y Computadora.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Cuadernos.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Fichas de trabajo.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Redes sociales (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WhatsApp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>)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Textos del MED (Fichas de Matemática 1° - 2025)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- Materiales didácticos concretos. </w:t>
            </w:r>
          </w:p>
          <w:p w:rsidR="007125E0" w:rsidRDefault="00EF3095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Juegos Matemáticos concretos.</w:t>
            </w:r>
          </w:p>
        </w:tc>
      </w:tr>
    </w:tbl>
    <w:p w:rsidR="007125E0" w:rsidRDefault="00D6182B">
      <w:pPr>
        <w:spacing w:after="0" w:line="240" w:lineRule="auto"/>
        <w:jc w:val="right"/>
        <w:rPr>
          <w:rFonts w:ascii="Arial Narrow" w:eastAsia="Arial Narrow" w:hAnsi="Arial Narrow" w:cs="Arial Narrow"/>
          <w:color w:val="000000"/>
        </w:rPr>
      </w:pPr>
      <w:proofErr w:type="spellStart"/>
      <w:r>
        <w:rPr>
          <w:rFonts w:ascii="Arial Narrow" w:eastAsia="Arial Narrow" w:hAnsi="Arial Narrow" w:cs="Arial Narrow"/>
          <w:color w:val="000000"/>
        </w:rPr>
        <w:t>Andaray</w:t>
      </w:r>
      <w:proofErr w:type="spellEnd"/>
      <w:r w:rsidR="00EF3095">
        <w:rPr>
          <w:rFonts w:ascii="Arial Narrow" w:eastAsia="Arial Narrow" w:hAnsi="Arial Narrow" w:cs="Arial Narrow"/>
          <w:color w:val="000000"/>
        </w:rPr>
        <w:t>, 17 de noviembre del 2025</w:t>
      </w:r>
    </w:p>
    <w:p w:rsidR="007125E0" w:rsidRDefault="007125E0">
      <w:pPr>
        <w:spacing w:after="0" w:line="240" w:lineRule="auto"/>
        <w:rPr>
          <w:rFonts w:ascii="Arial Narrow" w:eastAsia="Arial Narrow" w:hAnsi="Arial Narrow" w:cs="Arial Narrow"/>
          <w:b/>
          <w:bCs/>
          <w:i/>
          <w:iCs/>
          <w:color w:val="000000"/>
        </w:rPr>
      </w:pPr>
    </w:p>
    <w:p w:rsidR="007125E0" w:rsidRDefault="007125E0">
      <w:pPr>
        <w:spacing w:after="0" w:line="240" w:lineRule="auto"/>
        <w:rPr>
          <w:rFonts w:ascii="Arial Narrow" w:eastAsia="Arial Narrow" w:hAnsi="Arial Narrow" w:cs="Arial Narrow"/>
          <w:b/>
          <w:bCs/>
          <w:i/>
          <w:iCs/>
          <w:color w:val="000000"/>
        </w:rPr>
      </w:pPr>
    </w:p>
    <w:p w:rsidR="007125E0" w:rsidRDefault="00EF3095">
      <w:pPr>
        <w:spacing w:after="0" w:line="240" w:lineRule="auto"/>
        <w:jc w:val="right"/>
        <w:rPr>
          <w:rFonts w:ascii="Arial Narrow" w:eastAsia="Arial Narrow" w:hAnsi="Arial Narrow" w:cs="Arial Narrow"/>
          <w:b/>
          <w:bCs/>
          <w:i/>
          <w:i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960438</wp:posOffset>
                </wp:positionH>
                <wp:positionV relativeFrom="paragraph">
                  <wp:posOffset>71438</wp:posOffset>
                </wp:positionV>
                <wp:extent cx="4086225" cy="533400"/>
                <wp:effectExtent l="0" t="0" r="0" b="0"/>
                <wp:wrapNone/>
                <wp:docPr id="2128886579" name="212888657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2413" y="3522825"/>
                          <a:ext cx="40671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25E0" w:rsidRDefault="00EF3095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----------------------------------                             ----------------------------------</w:t>
                            </w:r>
                          </w:p>
                          <w:p w:rsidR="007125E0" w:rsidRDefault="00EF3095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         DIRECTOR                                                           DOCENTE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960438</wp:posOffset>
                </wp:positionH>
                <wp:positionV relativeFrom="paragraph">
                  <wp:posOffset>71438</wp:posOffset>
                </wp:positionV>
                <wp:extent cx="4086225" cy="533400"/>
                <wp:effectExtent b="0" l="0" r="0" t="0"/>
                <wp:wrapNone/>
                <wp:docPr id="212888657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6225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125E0" w:rsidRDefault="007125E0">
      <w:pPr>
        <w:tabs>
          <w:tab w:val="left" w:pos="5944"/>
        </w:tabs>
        <w:spacing w:after="0" w:line="240" w:lineRule="auto"/>
        <w:rPr>
          <w:rFonts w:ascii="Arial Narrow" w:eastAsia="Arial Narrow" w:hAnsi="Arial Narrow" w:cs="Arial Narrow"/>
          <w:color w:val="000000"/>
        </w:rPr>
      </w:pPr>
    </w:p>
    <w:p w:rsidR="007125E0" w:rsidRDefault="007125E0">
      <w:pPr>
        <w:tabs>
          <w:tab w:val="left" w:pos="5944"/>
        </w:tabs>
        <w:spacing w:after="0" w:line="240" w:lineRule="auto"/>
        <w:rPr>
          <w:rFonts w:ascii="Arial Narrow" w:eastAsia="Arial Narrow" w:hAnsi="Arial Narrow" w:cs="Arial Narrow"/>
          <w:color w:val="000000"/>
        </w:rPr>
      </w:pPr>
    </w:p>
    <w:sectPr w:rsidR="007125E0">
      <w:headerReference w:type="default" r:id="rId10"/>
      <w:footerReference w:type="default" r:id="rId11"/>
      <w:pgSz w:w="11906" w:h="16838"/>
      <w:pgMar w:top="1417" w:right="1133" w:bottom="993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9C1" w:rsidRDefault="007C19C1">
      <w:pPr>
        <w:spacing w:after="0" w:line="240" w:lineRule="auto"/>
      </w:pPr>
      <w:r>
        <w:separator/>
      </w:r>
    </w:p>
  </w:endnote>
  <w:endnote w:type="continuationSeparator" w:id="0">
    <w:p w:rsidR="007C19C1" w:rsidRDefault="007C1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A78D54D-1F63-42CD-89D9-1DEF87DA1B22}"/>
    <w:embedBold r:id="rId2" w:fontKey="{A9473FB4-06E2-4DF2-BEF6-8CF00A0825E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otham Rounded Book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B2AD7A7-0D79-4587-848B-99A03797CDB0}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Regular r:id="rId4" w:fontKey="{CADFA468-DED7-4D5A-8B3A-9B1C683F1357}"/>
    <w:embedBold r:id="rId5" w:fontKey="{2DE0F2F7-FD3B-4B8C-8784-9B957FF13A55}"/>
  </w:font>
  <w:font w:name="Limelight">
    <w:charset w:val="00"/>
    <w:family w:val="auto"/>
    <w:pitch w:val="default"/>
    <w:embedBold r:id="rId6" w:fontKey="{516865B6-9C16-4D73-B560-65CBB6DBFED8}"/>
  </w:font>
  <w:font w:name="Federo">
    <w:charset w:val="00"/>
    <w:family w:val="auto"/>
    <w:pitch w:val="default"/>
    <w:embedBold r:id="rId7" w:fontKey="{D99C38E3-A3F0-4153-9A11-949AEF81434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82F8F537-9FE7-48C1-93C2-E896194739AA}"/>
    <w:embedBold r:id="rId9" w:fontKey="{D8507BD1-4665-4202-8E53-539F3135D2EC}"/>
    <w:embedBoldItalic r:id="rId10" w:fontKey="{E1D5543F-3077-4DF8-AEB3-C9479709FB06}"/>
  </w:font>
  <w:font w:name="Corsiva">
    <w:charset w:val="00"/>
    <w:family w:val="auto"/>
    <w:pitch w:val="default"/>
    <w:embedRegular r:id="rId11" w:fontKey="{CF735D81-9FD6-4614-856E-BF74B13B74CA}"/>
  </w:font>
  <w:font w:name="Arial Rounded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7CEF9C31-5153-4B79-BD2B-AF97EF0090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5E0" w:rsidRDefault="00EF30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62992">
      <w:rPr>
        <w:noProof/>
        <w:color w:val="000000"/>
      </w:rPr>
      <w:t>1</w:t>
    </w:r>
    <w:r>
      <w:rPr>
        <w:color w:val="000000"/>
      </w:rPr>
      <w:fldChar w:fldCharType="end"/>
    </w:r>
  </w:p>
  <w:p w:rsidR="007125E0" w:rsidRDefault="007125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9C1" w:rsidRDefault="007C19C1">
      <w:pPr>
        <w:spacing w:after="0" w:line="240" w:lineRule="auto"/>
      </w:pPr>
      <w:r>
        <w:separator/>
      </w:r>
    </w:p>
  </w:footnote>
  <w:footnote w:type="continuationSeparator" w:id="0">
    <w:p w:rsidR="007C19C1" w:rsidRDefault="007C1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5E0" w:rsidRDefault="00EF30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Rockwell" w:eastAsia="Rockwell" w:hAnsi="Rockwell" w:cs="Rockwell"/>
        <w:color w:val="000000"/>
        <w:highlight w:val="white"/>
      </w:rPr>
    </w:pPr>
    <w:bookmarkStart w:id="2" w:name="_heading=h.zacer9hrawh3" w:colFirst="0" w:colLast="0"/>
    <w:bookmarkEnd w:id="2"/>
    <w:r>
      <w:rPr>
        <w:rFonts w:ascii="Rockwell" w:eastAsia="Rockwell" w:hAnsi="Rockwell" w:cs="Rockwell"/>
        <w:color w:val="000000"/>
        <w:highlight w:val="white"/>
      </w:rPr>
      <w:t xml:space="preserve"> “Año de la recuperación y consolidación de la economía peruana”</w:t>
    </w:r>
    <w:r>
      <w:rPr>
        <w:rFonts w:ascii="Corsiva" w:eastAsia="Corsiva" w:hAnsi="Corsiva" w:cs="Corsiva"/>
        <w:color w:val="000000"/>
        <w:sz w:val="16"/>
        <w:szCs w:val="16"/>
      </w:rPr>
      <w:t xml:space="preserve"> </w:t>
    </w:r>
  </w:p>
  <w:p w:rsidR="007125E0" w:rsidRDefault="007125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8504"/>
      </w:tabs>
      <w:spacing w:after="0" w:line="240" w:lineRule="auto"/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125E0"/>
    <w:rsid w:val="00362992"/>
    <w:rsid w:val="007125E0"/>
    <w:rsid w:val="007C19C1"/>
    <w:rsid w:val="00D6182B"/>
    <w:rsid w:val="00EF3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aliases w:val="Fundamentacion,Lista vistosa - Énfasis 11,Bulleted List,Lista media 2 - Énfasis 41,Cita Pie de Página,titulo,SubPárrafo de lista,ASPECTOS GENERALES,Lista vistosa - Énfasis 111,List Paragraph,Párrafo de lista2,Párrafo de lista1,TITULO A"/>
    <w:basedOn w:val="Normal"/>
    <w:link w:val="PrrafodelistaCar"/>
    <w:uiPriority w:val="34"/>
    <w:qFormat/>
    <w:rsid w:val="009F0B44"/>
    <w:pPr>
      <w:ind w:left="720"/>
      <w:contextualSpacing/>
    </w:pPr>
  </w:style>
  <w:style w:type="table" w:customStyle="1" w:styleId="GridTable1LightAccent5">
    <w:name w:val="Grid Table 1 Light Accent 5"/>
    <w:basedOn w:val="Tablanormal"/>
    <w:uiPriority w:val="46"/>
    <w:rsid w:val="009F0B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rrafodelistaCar">
    <w:name w:val="Párrafo de lista Car"/>
    <w:aliases w:val="Fundamentacion Car,Lista vistosa - Énfasis 11 Car,Bulleted List Car,Lista media 2 - Énfasis 41 Car,Cita Pie de Página Car,titulo Car,SubPárrafo de lista Car,ASPECTOS GENERALES Car,Lista vistosa - Énfasis 111 Car,List Paragraph Car"/>
    <w:link w:val="Prrafodelista"/>
    <w:uiPriority w:val="34"/>
    <w:qFormat/>
    <w:rsid w:val="009F0B44"/>
  </w:style>
  <w:style w:type="table" w:customStyle="1" w:styleId="Tabladecuadrcula5oscura-nfasis11">
    <w:name w:val="Tabla de cuadrícula 5 oscura - Énfasis 11"/>
    <w:basedOn w:val="Tablanormal"/>
    <w:uiPriority w:val="50"/>
    <w:rsid w:val="009F0B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4Accent2">
    <w:name w:val="Grid Table 4 Accent 2"/>
    <w:basedOn w:val="Tablanormal"/>
    <w:uiPriority w:val="49"/>
    <w:rsid w:val="009F0B44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5DarkAccent2">
    <w:name w:val="Grid Table 5 Dark Accent 2"/>
    <w:basedOn w:val="Tablanormal"/>
    <w:uiPriority w:val="50"/>
    <w:rsid w:val="009F0B44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9F0B44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customStyle="1" w:styleId="Default">
    <w:name w:val="Default"/>
    <w:rsid w:val="009F0B44"/>
    <w:pPr>
      <w:autoSpaceDE w:val="0"/>
      <w:autoSpaceDN w:val="0"/>
      <w:adjustRightInd w:val="0"/>
      <w:spacing w:after="0" w:line="240" w:lineRule="auto"/>
    </w:pPr>
    <w:rPr>
      <w:rFonts w:ascii="Gotham Rounded Book" w:hAnsi="Gotham Rounded Book" w:cs="Gotham Rounded Book"/>
      <w:color w:val="000000"/>
      <w:sz w:val="24"/>
      <w:szCs w:val="24"/>
    </w:rPr>
  </w:style>
  <w:style w:type="table" w:customStyle="1" w:styleId="GridTable5DarkAccent5">
    <w:name w:val="Grid Table 5 Dark Accent 5"/>
    <w:basedOn w:val="Tablanormal"/>
    <w:uiPriority w:val="50"/>
    <w:rsid w:val="009F0B44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9F0B44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Tablaconcuadrcula3">
    <w:name w:val="Tabla con cuadrícula3"/>
    <w:basedOn w:val="Tablanormal"/>
    <w:next w:val="Tablaconcuadrcula"/>
    <w:uiPriority w:val="39"/>
    <w:rsid w:val="009F0B4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1">
    <w:name w:val="Pa11"/>
    <w:basedOn w:val="Default"/>
    <w:next w:val="Default"/>
    <w:uiPriority w:val="99"/>
    <w:rsid w:val="009F0B44"/>
    <w:pPr>
      <w:spacing w:line="201" w:lineRule="atLeast"/>
    </w:pPr>
    <w:rPr>
      <w:rFonts w:cstheme="minorBidi"/>
      <w:color w:val="auto"/>
    </w:rPr>
  </w:style>
  <w:style w:type="table" w:customStyle="1" w:styleId="GridTable4Accent5">
    <w:name w:val="Grid Table 4 Accent 5"/>
    <w:basedOn w:val="Tablanormal"/>
    <w:uiPriority w:val="49"/>
    <w:rsid w:val="009F0B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">
    <w:name w:val="Table Grid"/>
    <w:basedOn w:val="Tablanormal"/>
    <w:uiPriority w:val="39"/>
    <w:rsid w:val="009F0B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77E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7EDE"/>
  </w:style>
  <w:style w:type="paragraph" w:styleId="Piedepgina">
    <w:name w:val="footer"/>
    <w:basedOn w:val="Normal"/>
    <w:link w:val="PiedepginaCar"/>
    <w:uiPriority w:val="99"/>
    <w:unhideWhenUsed/>
    <w:rsid w:val="00877E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7EDE"/>
  </w:style>
  <w:style w:type="paragraph" w:customStyle="1" w:styleId="Pa10">
    <w:name w:val="Pa10"/>
    <w:basedOn w:val="Default"/>
    <w:next w:val="Default"/>
    <w:uiPriority w:val="99"/>
    <w:rsid w:val="00D452A1"/>
    <w:pPr>
      <w:spacing w:line="20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7B5612"/>
    <w:pPr>
      <w:spacing w:line="20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FC37E0"/>
    <w:pPr>
      <w:spacing w:line="201" w:lineRule="atLeast"/>
    </w:pPr>
    <w:rPr>
      <w:rFonts w:cstheme="minorBidi"/>
      <w:color w:val="auto"/>
    </w:rPr>
  </w:style>
  <w:style w:type="character" w:customStyle="1" w:styleId="TtuloCar">
    <w:name w:val="Título Car"/>
    <w:basedOn w:val="Fuentedeprrafopredeter"/>
    <w:rsid w:val="006B32D5"/>
    <w:rPr>
      <w:rFonts w:ascii="Calibri" w:eastAsia="Calibri" w:hAnsi="Calibri" w:cs="Calibri"/>
      <w:b/>
      <w:sz w:val="72"/>
      <w:szCs w:val="72"/>
      <w:lang w:eastAsia="es-PE"/>
    </w:rPr>
  </w:style>
  <w:style w:type="character" w:styleId="nfasis">
    <w:name w:val="Emphasis"/>
    <w:uiPriority w:val="20"/>
    <w:qFormat/>
    <w:rsid w:val="00224A11"/>
    <w:rPr>
      <w:i/>
      <w:iCs/>
    </w:rPr>
  </w:style>
  <w:style w:type="table" w:styleId="Tablaconcuadrcula30">
    <w:name w:val="Table Grid 3"/>
    <w:basedOn w:val="Tablanormal"/>
    <w:rsid w:val="00714B2F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aliases w:val="Fundamentacion,Lista vistosa - Énfasis 11,Bulleted List,Lista media 2 - Énfasis 41,Cita Pie de Página,titulo,SubPárrafo de lista,ASPECTOS GENERALES,Lista vistosa - Énfasis 111,List Paragraph,Párrafo de lista2,Párrafo de lista1,TITULO A"/>
    <w:basedOn w:val="Normal"/>
    <w:link w:val="PrrafodelistaCar"/>
    <w:uiPriority w:val="34"/>
    <w:qFormat/>
    <w:rsid w:val="009F0B44"/>
    <w:pPr>
      <w:ind w:left="720"/>
      <w:contextualSpacing/>
    </w:pPr>
  </w:style>
  <w:style w:type="table" w:customStyle="1" w:styleId="GridTable1LightAccent5">
    <w:name w:val="Grid Table 1 Light Accent 5"/>
    <w:basedOn w:val="Tablanormal"/>
    <w:uiPriority w:val="46"/>
    <w:rsid w:val="009F0B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rrafodelistaCar">
    <w:name w:val="Párrafo de lista Car"/>
    <w:aliases w:val="Fundamentacion Car,Lista vistosa - Énfasis 11 Car,Bulleted List Car,Lista media 2 - Énfasis 41 Car,Cita Pie de Página Car,titulo Car,SubPárrafo de lista Car,ASPECTOS GENERALES Car,Lista vistosa - Énfasis 111 Car,List Paragraph Car"/>
    <w:link w:val="Prrafodelista"/>
    <w:uiPriority w:val="34"/>
    <w:qFormat/>
    <w:rsid w:val="009F0B44"/>
  </w:style>
  <w:style w:type="table" w:customStyle="1" w:styleId="Tabladecuadrcula5oscura-nfasis11">
    <w:name w:val="Tabla de cuadrícula 5 oscura - Énfasis 11"/>
    <w:basedOn w:val="Tablanormal"/>
    <w:uiPriority w:val="50"/>
    <w:rsid w:val="009F0B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4Accent2">
    <w:name w:val="Grid Table 4 Accent 2"/>
    <w:basedOn w:val="Tablanormal"/>
    <w:uiPriority w:val="49"/>
    <w:rsid w:val="009F0B44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5DarkAccent2">
    <w:name w:val="Grid Table 5 Dark Accent 2"/>
    <w:basedOn w:val="Tablanormal"/>
    <w:uiPriority w:val="50"/>
    <w:rsid w:val="009F0B44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9F0B44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customStyle="1" w:styleId="Default">
    <w:name w:val="Default"/>
    <w:rsid w:val="009F0B44"/>
    <w:pPr>
      <w:autoSpaceDE w:val="0"/>
      <w:autoSpaceDN w:val="0"/>
      <w:adjustRightInd w:val="0"/>
      <w:spacing w:after="0" w:line="240" w:lineRule="auto"/>
    </w:pPr>
    <w:rPr>
      <w:rFonts w:ascii="Gotham Rounded Book" w:hAnsi="Gotham Rounded Book" w:cs="Gotham Rounded Book"/>
      <w:color w:val="000000"/>
      <w:sz w:val="24"/>
      <w:szCs w:val="24"/>
    </w:rPr>
  </w:style>
  <w:style w:type="table" w:customStyle="1" w:styleId="GridTable5DarkAccent5">
    <w:name w:val="Grid Table 5 Dark Accent 5"/>
    <w:basedOn w:val="Tablanormal"/>
    <w:uiPriority w:val="50"/>
    <w:rsid w:val="009F0B44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9F0B44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Tablaconcuadrcula3">
    <w:name w:val="Tabla con cuadrícula3"/>
    <w:basedOn w:val="Tablanormal"/>
    <w:next w:val="Tablaconcuadrcula"/>
    <w:uiPriority w:val="39"/>
    <w:rsid w:val="009F0B4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1">
    <w:name w:val="Pa11"/>
    <w:basedOn w:val="Default"/>
    <w:next w:val="Default"/>
    <w:uiPriority w:val="99"/>
    <w:rsid w:val="009F0B44"/>
    <w:pPr>
      <w:spacing w:line="201" w:lineRule="atLeast"/>
    </w:pPr>
    <w:rPr>
      <w:rFonts w:cstheme="minorBidi"/>
      <w:color w:val="auto"/>
    </w:rPr>
  </w:style>
  <w:style w:type="table" w:customStyle="1" w:styleId="GridTable4Accent5">
    <w:name w:val="Grid Table 4 Accent 5"/>
    <w:basedOn w:val="Tablanormal"/>
    <w:uiPriority w:val="49"/>
    <w:rsid w:val="009F0B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">
    <w:name w:val="Table Grid"/>
    <w:basedOn w:val="Tablanormal"/>
    <w:uiPriority w:val="39"/>
    <w:rsid w:val="009F0B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77E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7EDE"/>
  </w:style>
  <w:style w:type="paragraph" w:styleId="Piedepgina">
    <w:name w:val="footer"/>
    <w:basedOn w:val="Normal"/>
    <w:link w:val="PiedepginaCar"/>
    <w:uiPriority w:val="99"/>
    <w:unhideWhenUsed/>
    <w:rsid w:val="00877E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7EDE"/>
  </w:style>
  <w:style w:type="paragraph" w:customStyle="1" w:styleId="Pa10">
    <w:name w:val="Pa10"/>
    <w:basedOn w:val="Default"/>
    <w:next w:val="Default"/>
    <w:uiPriority w:val="99"/>
    <w:rsid w:val="00D452A1"/>
    <w:pPr>
      <w:spacing w:line="20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7B5612"/>
    <w:pPr>
      <w:spacing w:line="20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FC37E0"/>
    <w:pPr>
      <w:spacing w:line="201" w:lineRule="atLeast"/>
    </w:pPr>
    <w:rPr>
      <w:rFonts w:cstheme="minorBidi"/>
      <w:color w:val="auto"/>
    </w:rPr>
  </w:style>
  <w:style w:type="character" w:customStyle="1" w:styleId="TtuloCar">
    <w:name w:val="Título Car"/>
    <w:basedOn w:val="Fuentedeprrafopredeter"/>
    <w:rsid w:val="006B32D5"/>
    <w:rPr>
      <w:rFonts w:ascii="Calibri" w:eastAsia="Calibri" w:hAnsi="Calibri" w:cs="Calibri"/>
      <w:b/>
      <w:sz w:val="72"/>
      <w:szCs w:val="72"/>
      <w:lang w:eastAsia="es-PE"/>
    </w:rPr>
  </w:style>
  <w:style w:type="character" w:styleId="nfasis">
    <w:name w:val="Emphasis"/>
    <w:uiPriority w:val="20"/>
    <w:qFormat/>
    <w:rsid w:val="00224A11"/>
    <w:rPr>
      <w:i/>
      <w:iCs/>
    </w:rPr>
  </w:style>
  <w:style w:type="table" w:styleId="Tablaconcuadrcula30">
    <w:name w:val="Table Grid 3"/>
    <w:basedOn w:val="Tablanormal"/>
    <w:rsid w:val="00714B2F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82L1z6tfAle+FRLATjuYsYnuqw==">CgMxLjAyDmguNWM2MWJjM2IxeDU2Mg5oLnphY2VyOWhyYXdoMzgAciExS0pDY2lYWnZoLUw5V0RTMGtBQjdRNDU5MFVrd28xdEo=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3455</Words>
  <Characters>19004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COMPAC</cp:lastModifiedBy>
  <cp:revision>2</cp:revision>
  <dcterms:created xsi:type="dcterms:W3CDTF">2025-12-22T14:59:00Z</dcterms:created>
  <dcterms:modified xsi:type="dcterms:W3CDTF">2025-12-22T14:59:00Z</dcterms:modified>
</cp:coreProperties>
</file>